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7455ED07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8A35B6">
        <w:rPr>
          <w:b/>
        </w:rPr>
        <w:t>2</w:t>
      </w:r>
      <w:r w:rsidR="00381A72">
        <w:rPr>
          <w:b/>
        </w:rPr>
        <w:t>3</w:t>
      </w:r>
    </w:p>
    <w:p w14:paraId="223B91F4" w14:textId="713A9325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0330EE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1DA75724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381A72">
        <w:rPr>
          <w:b/>
        </w:rPr>
        <w:t>6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3A25695F" w14:textId="77777777" w:rsidR="009E1DAF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</w:t>
      </w:r>
    </w:p>
    <w:p w14:paraId="560BFBA1" w14:textId="7CE6B7C8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B34E24">
        <w:rPr>
          <w:b/>
        </w:rPr>
        <w:t>Kryminologia</w:t>
      </w:r>
      <w:r>
        <w:rPr>
          <w:b/>
        </w:rPr>
        <w:t xml:space="preserve"> studia </w:t>
      </w:r>
      <w:r w:rsidR="00971F9A">
        <w:rPr>
          <w:b/>
        </w:rPr>
        <w:t>drugiego</w:t>
      </w:r>
      <w:r w:rsidR="00116EB8">
        <w:rPr>
          <w:b/>
        </w:rPr>
        <w:t xml:space="preserve">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2A4AEC67" w:rsidR="00C53F49" w:rsidRDefault="00C53F49" w:rsidP="00C53F49">
      <w:pPr>
        <w:jc w:val="both"/>
      </w:pPr>
      <w:r>
        <w:t xml:space="preserve">Na podstawie </w:t>
      </w:r>
      <w:r w:rsidR="00D66846">
        <w:t>§ 25 ust. 1 p</w:t>
      </w:r>
      <w:r w:rsidR="009E1DAF">
        <w:t>kt</w:t>
      </w:r>
      <w:r w:rsidR="00D66846">
        <w:t>. 2 Statutu Akademii Handlowej Nauk Stosowanych w Radomiu</w:t>
      </w:r>
      <w:r w:rsidR="00F53C1E">
        <w:t xml:space="preserve"> z </w:t>
      </w:r>
      <w:r w:rsidR="00D66846">
        <w:t xml:space="preserve">dnia 19 grudnia 2024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18639115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F40C16">
        <w:t>drugiego</w:t>
      </w:r>
      <w:r w:rsidR="00116EB8">
        <w:t xml:space="preserve"> stopnia</w:t>
      </w:r>
      <w:r>
        <w:t>, tok studiów 20</w:t>
      </w:r>
      <w:r w:rsidR="00116EB8">
        <w:t>2</w:t>
      </w:r>
      <w:r w:rsidR="00381A72">
        <w:t>5</w:t>
      </w:r>
      <w:r>
        <w:t>-202</w:t>
      </w:r>
      <w:r w:rsidR="00381A72">
        <w:t>7</w:t>
      </w:r>
      <w:r>
        <w:t xml:space="preserve"> kierunku </w:t>
      </w:r>
      <w:r w:rsidR="00B34E24">
        <w:t>Kryminologia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B496DF9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F53C1E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002E81FA" w:rsidR="00C53F49" w:rsidRPr="009A2C3D" w:rsidRDefault="00C53F49" w:rsidP="00C53F49">
      <w:pPr>
        <w:jc w:val="both"/>
      </w:pPr>
      <w:r>
        <w:t>Zagadnienia są dostępne dla studentów</w:t>
      </w:r>
      <w:r w:rsidR="000330EE">
        <w:t xml:space="preserve"> i </w:t>
      </w:r>
      <w:r>
        <w:t>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09C4F96" w:rsidR="00C53F49" w:rsidRPr="009A2C3D" w:rsidRDefault="00C53F49" w:rsidP="00C53F49">
      <w:pPr>
        <w:jc w:val="both"/>
      </w:pPr>
      <w:r w:rsidRPr="009A2C3D">
        <w:t>Zarządzenie wchodzi w życie</w:t>
      </w:r>
      <w:r w:rsidR="00F53C1E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175BF1DA" w:rsidR="00C53F49" w:rsidRPr="009A2C3D" w:rsidRDefault="009E1DAF" w:rsidP="00C53F49">
      <w:pPr>
        <w:ind w:left="4956" w:right="480" w:firstLine="708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</w:t>
      </w:r>
      <w:r w:rsidR="00C53F49" w:rsidRPr="009A2C3D">
        <w:rPr>
          <w:rStyle w:val="Pogrubienie"/>
          <w:b w:val="0"/>
          <w:bCs w:val="0"/>
        </w:rPr>
        <w:t>Dziekan</w:t>
      </w:r>
      <w:r w:rsidR="00C53F49">
        <w:rPr>
          <w:rStyle w:val="Pogrubienie"/>
          <w:b w:val="0"/>
          <w:bCs w:val="0"/>
        </w:rPr>
        <w:t xml:space="preserve"> Wydziału</w:t>
      </w:r>
    </w:p>
    <w:p w14:paraId="5EF27C55" w14:textId="265C4B26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0330EE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64D29E45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D66846">
        <w:rPr>
          <w:i/>
        </w:rPr>
        <w:t xml:space="preserve">nr 1 </w:t>
      </w:r>
      <w:r>
        <w:rPr>
          <w:i/>
        </w:rPr>
        <w:t xml:space="preserve">do zarządzenia nr </w:t>
      </w:r>
      <w:r w:rsidR="008A35B6">
        <w:rPr>
          <w:i/>
        </w:rPr>
        <w:t>2</w:t>
      </w:r>
      <w:r w:rsidR="00381A72">
        <w:rPr>
          <w:i/>
        </w:rPr>
        <w:t>3</w:t>
      </w:r>
      <w:r>
        <w:rPr>
          <w:i/>
        </w:rPr>
        <w:t xml:space="preserve"> Dziekana Wydziału Studiów Strategicznych</w:t>
      </w:r>
      <w:r w:rsidR="000330EE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 w Radomiu</w:t>
      </w:r>
      <w:r w:rsidR="00F53C1E">
        <w:rPr>
          <w:i/>
        </w:rPr>
        <w:t xml:space="preserve"> 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381A72">
        <w:rPr>
          <w:i/>
        </w:rPr>
        <w:t>6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B34E24">
        <w:rPr>
          <w:bCs/>
          <w:i/>
          <w:iCs/>
        </w:rPr>
        <w:t>Kryminologia</w:t>
      </w:r>
      <w:r w:rsidRPr="00C276DB">
        <w:rPr>
          <w:bCs/>
          <w:i/>
          <w:iCs/>
        </w:rPr>
        <w:t xml:space="preserve"> – studia </w:t>
      </w:r>
      <w:r w:rsidR="00B34E24">
        <w:rPr>
          <w:bCs/>
          <w:i/>
          <w:iCs/>
        </w:rPr>
        <w:t>drugiego stopnia</w:t>
      </w:r>
    </w:p>
    <w:p w14:paraId="3EE2615F" w14:textId="7EB1B889" w:rsidR="006722F4" w:rsidRDefault="006722F4"/>
    <w:p w14:paraId="7CA6D78B" w14:textId="77777777" w:rsidR="00B34E24" w:rsidRPr="00D66846" w:rsidRDefault="00B34E24" w:rsidP="00381A72">
      <w:pPr>
        <w:pStyle w:val="Standard"/>
        <w:spacing w:before="240" w:line="276" w:lineRule="auto"/>
        <w:ind w:right="-3"/>
        <w:jc w:val="center"/>
      </w:pPr>
      <w:bookmarkStart w:id="0" w:name="page1"/>
      <w:bookmarkEnd w:id="0"/>
      <w:r w:rsidRPr="00D66846">
        <w:rPr>
          <w:rFonts w:eastAsia="Times New Roman" w:cs="Times New Roman"/>
          <w:b/>
          <w:kern w:val="0"/>
          <w:lang w:eastAsia="pl-PL"/>
        </w:rPr>
        <w:t>ZAGADNIENIA NA EGZAMIN DYPLOMOWY</w:t>
      </w:r>
    </w:p>
    <w:p w14:paraId="27A7DEB1" w14:textId="77777777" w:rsidR="00B34E24" w:rsidRPr="00D66846" w:rsidRDefault="00B34E24" w:rsidP="00B34E24">
      <w:pPr>
        <w:pStyle w:val="Standard"/>
        <w:spacing w:line="276" w:lineRule="auto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DLA KIERUNKU</w:t>
      </w:r>
      <w:r w:rsidRPr="00D66846">
        <w:rPr>
          <w:rFonts w:eastAsia="Times New Roman" w:cs="Times New Roman"/>
          <w:kern w:val="0"/>
          <w:lang w:eastAsia="pl-PL"/>
        </w:rPr>
        <w:t xml:space="preserve"> </w:t>
      </w:r>
      <w:r w:rsidRPr="00D66846">
        <w:rPr>
          <w:rFonts w:eastAsia="Times New Roman" w:cs="Times New Roman"/>
          <w:b/>
          <w:kern w:val="0"/>
          <w:lang w:eastAsia="pl-PL"/>
        </w:rPr>
        <w:t>KRYMINOLOGIA STUDIA DRUGIEGO STOPNIA</w:t>
      </w:r>
    </w:p>
    <w:p w14:paraId="6E16F50E" w14:textId="1E6B699C" w:rsidR="00B34E24" w:rsidRPr="00D66846" w:rsidRDefault="00B34E24" w:rsidP="000330EE">
      <w:pPr>
        <w:pStyle w:val="Standard"/>
        <w:spacing w:line="276" w:lineRule="auto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Rok akademicki 202</w:t>
      </w:r>
      <w:r w:rsidR="00381A72">
        <w:rPr>
          <w:rFonts w:eastAsia="Times New Roman" w:cs="Times New Roman"/>
          <w:b/>
          <w:kern w:val="0"/>
          <w:lang w:eastAsia="pl-PL"/>
        </w:rPr>
        <w:t>6</w:t>
      </w:r>
      <w:r w:rsidRPr="00D66846">
        <w:rPr>
          <w:rFonts w:eastAsia="Times New Roman" w:cs="Times New Roman"/>
          <w:b/>
          <w:kern w:val="0"/>
          <w:lang w:eastAsia="pl-PL"/>
        </w:rPr>
        <w:t>/202</w:t>
      </w:r>
      <w:r w:rsidR="00381A72">
        <w:rPr>
          <w:rFonts w:eastAsia="Times New Roman" w:cs="Times New Roman"/>
          <w:b/>
          <w:kern w:val="0"/>
          <w:lang w:eastAsia="pl-PL"/>
        </w:rPr>
        <w:t>7</w:t>
      </w:r>
    </w:p>
    <w:p w14:paraId="5796A438" w14:textId="187AB7BE" w:rsidR="00B34E24" w:rsidRPr="00D66846" w:rsidRDefault="00D66846" w:rsidP="00381A72">
      <w:pPr>
        <w:pStyle w:val="Standard"/>
        <w:spacing w:after="240" w:line="276" w:lineRule="auto"/>
        <w:jc w:val="center"/>
        <w:rPr>
          <w:u w:val="single"/>
        </w:rPr>
      </w:pPr>
      <w:r w:rsidRPr="00D66846">
        <w:rPr>
          <w:rFonts w:eastAsia="Times New Roman" w:cs="Times New Roman"/>
          <w:b/>
          <w:kern w:val="0"/>
          <w:u w:val="single"/>
          <w:lang w:eastAsia="pl-PL"/>
        </w:rPr>
        <w:t xml:space="preserve">ZAGADNIENIA </w:t>
      </w:r>
      <w:r w:rsidR="00B34E24" w:rsidRPr="00D66846">
        <w:rPr>
          <w:rFonts w:eastAsia="Times New Roman" w:cs="Times New Roman"/>
          <w:b/>
          <w:kern w:val="0"/>
          <w:u w:val="single"/>
          <w:lang w:eastAsia="pl-PL"/>
        </w:rPr>
        <w:t>KIERUNKOWE</w:t>
      </w:r>
    </w:p>
    <w:p w14:paraId="59A5236D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Cel śledczych oględzin miejsca zdarzenia.</w:t>
      </w:r>
    </w:p>
    <w:p w14:paraId="580F4FB7" w14:textId="724C3F93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System dozoru elektronicznego – wady</w:t>
      </w:r>
      <w:r w:rsidR="000330EE">
        <w:t xml:space="preserve"> i </w:t>
      </w:r>
      <w:r w:rsidRPr="00381A72">
        <w:t>zalety.</w:t>
      </w:r>
    </w:p>
    <w:p w14:paraId="2F4CF307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Rola prokuratora w procesie karnym.</w:t>
      </w:r>
    </w:p>
    <w:p w14:paraId="361412A2" w14:textId="30513033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Technika śledcza – istota</w:t>
      </w:r>
      <w:r w:rsidR="000330EE">
        <w:t xml:space="preserve"> i </w:t>
      </w:r>
      <w:r w:rsidRPr="00381A72">
        <w:t>zastosowanie.</w:t>
      </w:r>
    </w:p>
    <w:p w14:paraId="3B1BA872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Główne nurty teoretyczne współczesnej kryminologii.</w:t>
      </w:r>
    </w:p>
    <w:p w14:paraId="2F19DDDB" w14:textId="29BD7CDC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Techniki</w:t>
      </w:r>
      <w:r w:rsidR="000330EE">
        <w:t xml:space="preserve"> i </w:t>
      </w:r>
      <w:r w:rsidRPr="00381A72">
        <w:t>narzędzia stosowane w profilowaniu kryminalnym.</w:t>
      </w:r>
    </w:p>
    <w:p w14:paraId="0E60D621" w14:textId="74D422C5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Fenomenologia kryminologiczna – pojęcie</w:t>
      </w:r>
      <w:r w:rsidR="000330EE">
        <w:t xml:space="preserve"> i </w:t>
      </w:r>
      <w:r w:rsidRPr="00381A72">
        <w:t>znaczenie.</w:t>
      </w:r>
    </w:p>
    <w:p w14:paraId="340372FA" w14:textId="7D14F08E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 xml:space="preserve">Wtórna </w:t>
      </w:r>
      <w:proofErr w:type="spellStart"/>
      <w:r w:rsidRPr="00381A72">
        <w:t>wiktymizacja</w:t>
      </w:r>
      <w:proofErr w:type="spellEnd"/>
      <w:r w:rsidRPr="00381A72">
        <w:t xml:space="preserve"> – istota</w:t>
      </w:r>
      <w:r w:rsidR="000330EE">
        <w:t xml:space="preserve"> i </w:t>
      </w:r>
      <w:r w:rsidRPr="00381A72">
        <w:t>zagrożenia.</w:t>
      </w:r>
    </w:p>
    <w:p w14:paraId="035EA323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Systemy ochrony praw człowieka.</w:t>
      </w:r>
    </w:p>
    <w:p w14:paraId="5C2DF73E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Europejski system ochrony praw człowieka.</w:t>
      </w:r>
    </w:p>
    <w:p w14:paraId="228B893C" w14:textId="45C1099D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Badania karier kryminalnych – istota</w:t>
      </w:r>
      <w:r w:rsidR="000330EE">
        <w:t xml:space="preserve"> i </w:t>
      </w:r>
      <w:r w:rsidRPr="00381A72">
        <w:t>znaczenie.</w:t>
      </w:r>
    </w:p>
    <w:p w14:paraId="6932FA0C" w14:textId="5BAC81A0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Recydywa – pojęcie</w:t>
      </w:r>
      <w:r w:rsidR="000330EE">
        <w:t xml:space="preserve"> i </w:t>
      </w:r>
      <w:r w:rsidRPr="00381A72">
        <w:t>typy.</w:t>
      </w:r>
    </w:p>
    <w:p w14:paraId="2615E240" w14:textId="63AF93B2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Funkcje kary.</w:t>
      </w:r>
    </w:p>
    <w:p w14:paraId="0D65AD5F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Cechy zorganizowanej grupy przestępczej.</w:t>
      </w:r>
    </w:p>
    <w:p w14:paraId="3B9E03EB" w14:textId="051C93B0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Teoria etykietowania w wymiarze psychologicznym</w:t>
      </w:r>
      <w:r w:rsidR="000330EE">
        <w:t xml:space="preserve"> i </w:t>
      </w:r>
      <w:r w:rsidRPr="00381A72">
        <w:t>społecznym.</w:t>
      </w:r>
    </w:p>
    <w:p w14:paraId="3809193A" w14:textId="0FA69435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Postępowanie przygotowawcze – istota, funkcje</w:t>
      </w:r>
      <w:r w:rsidR="000330EE">
        <w:t xml:space="preserve"> i </w:t>
      </w:r>
      <w:r w:rsidRPr="00381A72">
        <w:t>cele.</w:t>
      </w:r>
    </w:p>
    <w:p w14:paraId="50198B27" w14:textId="3361FBDB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Profilaktyka kryminologiczna a profilaktyka kryminalistyczna – różnice</w:t>
      </w:r>
      <w:r w:rsidR="000330EE">
        <w:t xml:space="preserve"> i </w:t>
      </w:r>
      <w:r w:rsidRPr="00381A72">
        <w:t>zakres.</w:t>
      </w:r>
    </w:p>
    <w:p w14:paraId="7EFC4323" w14:textId="34977522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Syndrom sztokholmski – istota, przyczyny</w:t>
      </w:r>
      <w:r w:rsidR="000330EE">
        <w:t xml:space="preserve"> i </w:t>
      </w:r>
      <w:r w:rsidRPr="00381A72">
        <w:t>mechanizm powstawania.</w:t>
      </w:r>
    </w:p>
    <w:p w14:paraId="2EA88C1A" w14:textId="1B611085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Obrona konieczna</w:t>
      </w:r>
      <w:r w:rsidR="000330EE">
        <w:t xml:space="preserve"> i </w:t>
      </w:r>
      <w:r w:rsidRPr="00381A72">
        <w:t>jej przekroczenie – przesłanki</w:t>
      </w:r>
      <w:r w:rsidR="000330EE">
        <w:t xml:space="preserve"> i </w:t>
      </w:r>
      <w:r w:rsidRPr="00381A72">
        <w:t>skutki.</w:t>
      </w:r>
    </w:p>
    <w:p w14:paraId="13139AFD" w14:textId="67B775FB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Stan wyższej konieczności – przesłanki</w:t>
      </w:r>
      <w:r w:rsidR="000330EE">
        <w:t xml:space="preserve"> i </w:t>
      </w:r>
      <w:r w:rsidRPr="00381A72">
        <w:t>zastosowanie.</w:t>
      </w:r>
    </w:p>
    <w:p w14:paraId="722D91B5" w14:textId="2B4F8C9B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 xml:space="preserve">Modus </w:t>
      </w:r>
      <w:proofErr w:type="spellStart"/>
      <w:r w:rsidRPr="00381A72">
        <w:t>operandi</w:t>
      </w:r>
      <w:proofErr w:type="spellEnd"/>
      <w:r w:rsidRPr="00381A72">
        <w:t xml:space="preserve"> – pojęcie</w:t>
      </w:r>
      <w:r w:rsidR="000330EE">
        <w:t xml:space="preserve"> i </w:t>
      </w:r>
      <w:r w:rsidRPr="00381A72">
        <w:t>znaczenie kryminologiczne.</w:t>
      </w:r>
    </w:p>
    <w:p w14:paraId="593BB6A0" w14:textId="0F42E1FD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Przeciwdziałanie, zapobieganie</w:t>
      </w:r>
      <w:r w:rsidR="000330EE">
        <w:t xml:space="preserve"> i </w:t>
      </w:r>
      <w:r w:rsidRPr="00381A72">
        <w:t>zwalczanie przestępczości – pojęcia</w:t>
      </w:r>
      <w:r w:rsidR="000330EE">
        <w:t xml:space="preserve"> i </w:t>
      </w:r>
      <w:r w:rsidRPr="00381A72">
        <w:t>różnice.</w:t>
      </w:r>
    </w:p>
    <w:p w14:paraId="22C02BF8" w14:textId="27962E31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Przestępstwo, zbrodnia</w:t>
      </w:r>
      <w:r w:rsidR="000330EE">
        <w:t xml:space="preserve"> i </w:t>
      </w:r>
      <w:r w:rsidRPr="00381A72">
        <w:t>występek – zależności</w:t>
      </w:r>
      <w:r w:rsidR="000330EE">
        <w:t xml:space="preserve"> i </w:t>
      </w:r>
      <w:r w:rsidRPr="00381A72">
        <w:t>różnice.</w:t>
      </w:r>
    </w:p>
    <w:p w14:paraId="4DD7B1DA" w14:textId="327FAB5A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Obrona konieczna</w:t>
      </w:r>
      <w:r w:rsidR="000330EE">
        <w:t xml:space="preserve"> i </w:t>
      </w:r>
      <w:r w:rsidRPr="00381A72">
        <w:t>jej przekroczenie w czasie.</w:t>
      </w:r>
    </w:p>
    <w:p w14:paraId="66CED1F5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Czynniki społeczno-ekonomiczne determinujące zachowania przestępcze.</w:t>
      </w:r>
    </w:p>
    <w:p w14:paraId="27599513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Metody diagnozowania rozmiarów przestępczości nieujawnionej.</w:t>
      </w:r>
    </w:p>
    <w:p w14:paraId="52FC4161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lastRenderedPageBreak/>
        <w:t>Znaczenie badań wiktymologicznych w zapobieganiu przestępczości.</w:t>
      </w:r>
    </w:p>
    <w:p w14:paraId="5CAE8FAD" w14:textId="32650613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Społeczna służebność kształtowania bezpiecznych przestrzeni.</w:t>
      </w:r>
    </w:p>
    <w:p w14:paraId="2FCAC095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Procedura „Niebieskiej Karty”.</w:t>
      </w:r>
    </w:p>
    <w:p w14:paraId="104ADAB7" w14:textId="5968B523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Środowiska kryminogenne – typy, charakterystyka</w:t>
      </w:r>
      <w:r w:rsidR="000330EE">
        <w:t xml:space="preserve"> i </w:t>
      </w:r>
      <w:r w:rsidRPr="00381A72">
        <w:t>wpływ na przestępczość.</w:t>
      </w:r>
    </w:p>
    <w:p w14:paraId="5A2564F8" w14:textId="2F77679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Cyberprzestępczość – charakterystyka, przyczyny</w:t>
      </w:r>
      <w:r w:rsidR="000330EE">
        <w:t xml:space="preserve"> i </w:t>
      </w:r>
      <w:r w:rsidRPr="00381A72">
        <w:t>sposoby zapobiegania.</w:t>
      </w:r>
    </w:p>
    <w:p w14:paraId="25591D56" w14:textId="679F60B3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Interpretacja pojęcia „etiologia przestępczości”.</w:t>
      </w:r>
    </w:p>
    <w:p w14:paraId="43764843" w14:textId="7F3117FF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Rzeczowe źródła dowodowe – pojęcie</w:t>
      </w:r>
      <w:r w:rsidR="000330EE">
        <w:t xml:space="preserve"> i </w:t>
      </w:r>
      <w:r w:rsidRPr="00381A72">
        <w:t xml:space="preserve">charakterystyka. </w:t>
      </w:r>
    </w:p>
    <w:p w14:paraId="5680DDC5" w14:textId="2BBEFC98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Metoda odśrodkowa oględzin miejsca zdarzenia.</w:t>
      </w:r>
    </w:p>
    <w:p w14:paraId="28C8A184" w14:textId="5C62CAA4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Rola oględzin miejsca zdarzenia w ujawnianiu</w:t>
      </w:r>
      <w:r w:rsidR="000330EE">
        <w:t xml:space="preserve"> i </w:t>
      </w:r>
      <w:r w:rsidRPr="00381A72">
        <w:t>zabezpieczaniu śladów.</w:t>
      </w:r>
    </w:p>
    <w:p w14:paraId="33E906D1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Zakres przedmiotowy Krajowego Mechanizmu Prewencji Tortur.</w:t>
      </w:r>
    </w:p>
    <w:p w14:paraId="0DB74CCE" w14:textId="356DA3D8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Indywidualna a grupowa identyfikacja kryminalistyczna – różnice</w:t>
      </w:r>
      <w:r w:rsidR="000330EE">
        <w:t xml:space="preserve"> i </w:t>
      </w:r>
      <w:r w:rsidRPr="00381A72">
        <w:t>przykłady.</w:t>
      </w:r>
    </w:p>
    <w:p w14:paraId="4C0A3C3F" w14:textId="31DD5FE6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Skład</w:t>
      </w:r>
      <w:r w:rsidR="000330EE">
        <w:t xml:space="preserve"> i </w:t>
      </w:r>
      <w:r w:rsidRPr="00381A72">
        <w:t>zadania grupy operacyjno-dochodzeniowej podczas śledczych oględzin.</w:t>
      </w:r>
    </w:p>
    <w:p w14:paraId="3FB62CAE" w14:textId="77777777" w:rsidR="00381A72" w:rsidRPr="00381A72" w:rsidRDefault="00381A72" w:rsidP="00381A72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381A72">
        <w:t>Podejrzany a oskarżony – procesowe różnice.</w:t>
      </w:r>
    </w:p>
    <w:p w14:paraId="0A55FE8B" w14:textId="256EDF6B" w:rsidR="00B34E24" w:rsidRPr="00381A72" w:rsidRDefault="00381A72" w:rsidP="00381A72">
      <w:pPr>
        <w:pStyle w:val="Standard"/>
        <w:widowControl/>
        <w:numPr>
          <w:ilvl w:val="0"/>
          <w:numId w:val="11"/>
        </w:numPr>
        <w:autoSpaceDN w:val="0"/>
        <w:spacing w:line="360" w:lineRule="auto"/>
        <w:ind w:left="567" w:hanging="425"/>
        <w:jc w:val="both"/>
        <w:rPr>
          <w:rFonts w:cs="Times New Roman"/>
        </w:rPr>
      </w:pPr>
      <w:r w:rsidRPr="00381A72">
        <w:t>Prewencja indywidualna</w:t>
      </w:r>
      <w:r w:rsidR="000330EE">
        <w:t xml:space="preserve"> i </w:t>
      </w:r>
      <w:r w:rsidRPr="00381A72">
        <w:t>prewencja generalna – różnice</w:t>
      </w:r>
      <w:r w:rsidR="000330EE">
        <w:t xml:space="preserve"> i </w:t>
      </w:r>
      <w:r w:rsidRPr="00381A72">
        <w:t>znaczenie.</w:t>
      </w:r>
    </w:p>
    <w:p w14:paraId="2012C309" w14:textId="77777777" w:rsidR="00B34E24" w:rsidRDefault="00B34E24" w:rsidP="0059266D">
      <w:pPr>
        <w:pStyle w:val="Standard"/>
        <w:tabs>
          <w:tab w:val="left" w:pos="1095"/>
        </w:tabs>
        <w:spacing w:before="240" w:line="276" w:lineRule="auto"/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ZAGADNIENIA SPECJALNOŚCIOWE</w:t>
      </w:r>
    </w:p>
    <w:p w14:paraId="0AD0EE04" w14:textId="1E684311" w:rsidR="00B34E24" w:rsidRDefault="00D66846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Specjalność </w:t>
      </w:r>
      <w:r w:rsidR="003026DC" w:rsidRPr="003026DC">
        <w:rPr>
          <w:rFonts w:cs="Times New Roman"/>
          <w:b/>
        </w:rPr>
        <w:t>KRYMINALISTYCZNY WYMIAR TYPOWANIA SPRAWCY</w:t>
      </w:r>
    </w:p>
    <w:p w14:paraId="1961E727" w14:textId="6A36F1D0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 xml:space="preserve">Modus </w:t>
      </w:r>
      <w:proofErr w:type="spellStart"/>
      <w:r>
        <w:t>operandi</w:t>
      </w:r>
      <w:proofErr w:type="spellEnd"/>
      <w:r>
        <w:t xml:space="preserve"> – pojęcie</w:t>
      </w:r>
      <w:r w:rsidR="000330EE">
        <w:t xml:space="preserve"> i </w:t>
      </w:r>
      <w:r>
        <w:t>znaczenie w wykrywaniu</w:t>
      </w:r>
      <w:r w:rsidR="000330EE">
        <w:t xml:space="preserve"> i </w:t>
      </w:r>
      <w:r>
        <w:t>typow</w:t>
      </w:r>
      <w:bookmarkStart w:id="1" w:name="_GoBack"/>
      <w:bookmarkEnd w:id="1"/>
      <w:r>
        <w:t>aniu sprawców przestępstw.</w:t>
      </w:r>
    </w:p>
    <w:p w14:paraId="5BED83C1" w14:textId="48413B92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Zależność między sposobem działania sprawcy a jego cechami osobowościowymi</w:t>
      </w:r>
      <w:r w:rsidR="000330EE">
        <w:t xml:space="preserve"> i </w:t>
      </w:r>
      <w:r>
        <w:t>motywacją przestępczą.</w:t>
      </w:r>
    </w:p>
    <w:p w14:paraId="41E472FB" w14:textId="72AD14BC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Analiza kryminalna w procesie typowania sprawcy – metody, źródła danych</w:t>
      </w:r>
      <w:r w:rsidR="000330EE">
        <w:t xml:space="preserve"> i </w:t>
      </w:r>
      <w:r>
        <w:t>zastosowanie.</w:t>
      </w:r>
    </w:p>
    <w:p w14:paraId="741BE84A" w14:textId="4EEA626D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 xml:space="preserve">Analiza modus </w:t>
      </w:r>
      <w:proofErr w:type="spellStart"/>
      <w:r>
        <w:t>operandi</w:t>
      </w:r>
      <w:proofErr w:type="spellEnd"/>
      <w:r>
        <w:t xml:space="preserve"> w identyfikacji sprawców seryjnych</w:t>
      </w:r>
      <w:r w:rsidR="000330EE">
        <w:t xml:space="preserve"> i </w:t>
      </w:r>
      <w:r>
        <w:t>badaniu eskalacji zachowań przestępczych.</w:t>
      </w:r>
    </w:p>
    <w:p w14:paraId="6DAB484E" w14:textId="67382930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Gromadzenie, dokumentowanie</w:t>
      </w:r>
      <w:r w:rsidR="000330EE">
        <w:t xml:space="preserve"> i </w:t>
      </w:r>
      <w:r>
        <w:t>analiza informacji o sposobie działania sprawcy.</w:t>
      </w:r>
    </w:p>
    <w:p w14:paraId="5F01C80D" w14:textId="043EDB62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Profilowanie kryminalne – założenia, możliwości</w:t>
      </w:r>
      <w:r w:rsidR="000330EE">
        <w:t xml:space="preserve"> i </w:t>
      </w:r>
      <w:r>
        <w:t>ograniczenia w typowaniu sprawcy.</w:t>
      </w:r>
    </w:p>
    <w:p w14:paraId="62649454" w14:textId="247ED4CE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Wnioskowanie o cechach sprawcy na podstawie analizy śladów</w:t>
      </w:r>
      <w:r w:rsidR="000330EE">
        <w:t xml:space="preserve"> i </w:t>
      </w:r>
      <w:r>
        <w:t>sposobu działania.</w:t>
      </w:r>
    </w:p>
    <w:p w14:paraId="479B5326" w14:textId="6A6EAD2D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Zabezpieczanie miejsca zdarzenia</w:t>
      </w:r>
      <w:r w:rsidR="000330EE">
        <w:t xml:space="preserve"> i </w:t>
      </w:r>
      <w:r>
        <w:t>organizacja działań na miejscu przestępstwa.</w:t>
      </w:r>
    </w:p>
    <w:p w14:paraId="2CD1C394" w14:textId="37D91CA3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Identyfikacja</w:t>
      </w:r>
      <w:r w:rsidR="000330EE">
        <w:t xml:space="preserve"> i </w:t>
      </w:r>
      <w:r>
        <w:t>analiza wzorców zachowania sprawcy na podstawie danych kryminalistycznych.</w:t>
      </w:r>
    </w:p>
    <w:p w14:paraId="0648D864" w14:textId="089FA23E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Dokumentacja oględzin miejsca zdarzenia – fotografia kryminalistyczna, szkice</w:t>
      </w:r>
      <w:r w:rsidR="000330EE">
        <w:t xml:space="preserve"> i </w:t>
      </w:r>
      <w:r>
        <w:t>opis procesowy.</w:t>
      </w:r>
    </w:p>
    <w:p w14:paraId="33A21CB7" w14:textId="343E0335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Błędy w zabezpieczaniu miejsca zdarzenia oraz ich konsekwencje procesowe</w:t>
      </w:r>
      <w:r w:rsidR="000330EE">
        <w:t xml:space="preserve"> i </w:t>
      </w:r>
      <w:r>
        <w:t>dowodowe.</w:t>
      </w:r>
    </w:p>
    <w:p w14:paraId="6D346EA5" w14:textId="0F741DBE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Wykorzystanie sztucznej inteligencji w analizie kryminalistycznej</w:t>
      </w:r>
      <w:r w:rsidR="000330EE">
        <w:t xml:space="preserve"> i </w:t>
      </w:r>
      <w:r>
        <w:t>typowaniu sprawców.</w:t>
      </w:r>
    </w:p>
    <w:p w14:paraId="0F85ABCD" w14:textId="146FFE54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lastRenderedPageBreak/>
        <w:t>Znaczenie śladów kryminalistycznych w procesie dowodowym</w:t>
      </w:r>
      <w:r w:rsidR="000330EE">
        <w:t xml:space="preserve"> i </w:t>
      </w:r>
      <w:r>
        <w:t>wymiarze sprawiedliwości.</w:t>
      </w:r>
    </w:p>
    <w:p w14:paraId="161C94B1" w14:textId="7444AB8F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Etyka</w:t>
      </w:r>
      <w:r w:rsidR="000330EE">
        <w:t xml:space="preserve"> i </w:t>
      </w:r>
      <w:r>
        <w:t>odpowiedzialność zawodowa w pracy śledczej oraz zabezpieczaniu materiału dowodowego.</w:t>
      </w:r>
    </w:p>
    <w:p w14:paraId="61810D23" w14:textId="21D8BC86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Procedury prawne zabezpieczania śladów kryminalistycznych</w:t>
      </w:r>
      <w:r w:rsidR="000330EE">
        <w:t xml:space="preserve"> i </w:t>
      </w:r>
      <w:r>
        <w:t>ochrony miejsca zdarzenia.</w:t>
      </w:r>
    </w:p>
    <w:p w14:paraId="2EE1D274" w14:textId="3029D71B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Rodzaje badań kryminalistycznych</w:t>
      </w:r>
      <w:r w:rsidR="000330EE">
        <w:t xml:space="preserve"> i </w:t>
      </w:r>
      <w:r>
        <w:t>ich znaczenie w identyfikacji sprawcy przestępstwa.</w:t>
      </w:r>
    </w:p>
    <w:p w14:paraId="285384B5" w14:textId="0ED05E02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Ekspertyzy kryminalistyczne – daktyloskopia, mechanoskopia, traseologia, fonoskopia</w:t>
      </w:r>
      <w:r w:rsidR="000330EE">
        <w:t xml:space="preserve"> i </w:t>
      </w:r>
      <w:r>
        <w:t>informatyka śledcza.</w:t>
      </w:r>
    </w:p>
    <w:p w14:paraId="2716E20E" w14:textId="75ADCBFB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Badania biologiczne, antropologiczne</w:t>
      </w:r>
      <w:r w:rsidR="000330EE">
        <w:t xml:space="preserve"> i </w:t>
      </w:r>
      <w:r>
        <w:t>fizykochemiczne w postępowaniu karnym.</w:t>
      </w:r>
    </w:p>
    <w:p w14:paraId="33EB05CF" w14:textId="20C476F5" w:rsidR="00AF4632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Informatyka śledcza</w:t>
      </w:r>
      <w:r w:rsidR="000330EE">
        <w:t xml:space="preserve"> i </w:t>
      </w:r>
      <w:r>
        <w:t>nowe technologie w wykrywaniu</w:t>
      </w:r>
      <w:r w:rsidR="000330EE">
        <w:t xml:space="preserve"> i </w:t>
      </w:r>
      <w:r>
        <w:t>dokumentowaniu przestępstw.</w:t>
      </w:r>
    </w:p>
    <w:p w14:paraId="6B4369FF" w14:textId="25019C42" w:rsidR="00F53C1E" w:rsidRPr="00F53C1E" w:rsidRDefault="00AF4632" w:rsidP="00AF4632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567"/>
        <w:jc w:val="both"/>
      </w:pPr>
      <w:r>
        <w:t>Łączenie informacji z różnych źródeł w procesie typowania sprawcy – analiza kryminalna</w:t>
      </w:r>
      <w:r w:rsidR="000330EE">
        <w:t xml:space="preserve"> i </w:t>
      </w:r>
      <w:r>
        <w:t>kryminalistyczna.</w:t>
      </w:r>
    </w:p>
    <w:sectPr w:rsidR="00F53C1E" w:rsidRPr="00F53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43120"/>
    <w:multiLevelType w:val="hybridMultilevel"/>
    <w:tmpl w:val="8EDC3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90B01"/>
    <w:multiLevelType w:val="multilevel"/>
    <w:tmpl w:val="885A7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C1240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FA1FF7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1B87B0E"/>
    <w:multiLevelType w:val="multilevel"/>
    <w:tmpl w:val="19DA3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625CAE"/>
    <w:multiLevelType w:val="hybridMultilevel"/>
    <w:tmpl w:val="F9166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22989"/>
    <w:multiLevelType w:val="multilevel"/>
    <w:tmpl w:val="71486C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942819"/>
    <w:multiLevelType w:val="hybridMultilevel"/>
    <w:tmpl w:val="13FC05D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1D3698B"/>
    <w:multiLevelType w:val="multilevel"/>
    <w:tmpl w:val="9782F4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2."/>
      <w:lvlJc w:val="left"/>
      <w:pPr>
        <w:ind w:left="1260" w:hanging="540"/>
      </w:pPr>
      <w:rPr>
        <w:sz w:val="27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2"/>
  </w:num>
  <w:num w:numId="12">
    <w:abstractNumId w:val="10"/>
  </w:num>
  <w:num w:numId="13">
    <w:abstractNumId w:val="7"/>
  </w:num>
  <w:num w:numId="14">
    <w:abstractNumId w:val="3"/>
  </w:num>
  <w:num w:numId="15">
    <w:abstractNumId w:val="2"/>
  </w:num>
  <w:num w:numId="16">
    <w:abstractNumId w:val="1"/>
  </w:num>
  <w:num w:numId="17">
    <w:abstractNumId w:val="8"/>
  </w:num>
  <w:num w:numId="18">
    <w:abstractNumId w:val="1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0330EE"/>
    <w:rsid w:val="000E5432"/>
    <w:rsid w:val="00116EB8"/>
    <w:rsid w:val="00153E16"/>
    <w:rsid w:val="00193BAD"/>
    <w:rsid w:val="002316E9"/>
    <w:rsid w:val="003026DC"/>
    <w:rsid w:val="00381A72"/>
    <w:rsid w:val="0059266D"/>
    <w:rsid w:val="005D7A4C"/>
    <w:rsid w:val="00600F34"/>
    <w:rsid w:val="006722F4"/>
    <w:rsid w:val="008A35B6"/>
    <w:rsid w:val="008B21BA"/>
    <w:rsid w:val="00971F9A"/>
    <w:rsid w:val="009E1DAF"/>
    <w:rsid w:val="00A63E90"/>
    <w:rsid w:val="00AF0A11"/>
    <w:rsid w:val="00AF4632"/>
    <w:rsid w:val="00B34E24"/>
    <w:rsid w:val="00C53F49"/>
    <w:rsid w:val="00D66846"/>
    <w:rsid w:val="00E35D5D"/>
    <w:rsid w:val="00E8478B"/>
    <w:rsid w:val="00F40C16"/>
    <w:rsid w:val="00F53C1E"/>
    <w:rsid w:val="00F9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ormalnyWeb">
    <w:name w:val="Normal (Web)"/>
    <w:basedOn w:val="Normalny"/>
    <w:uiPriority w:val="99"/>
    <w:unhideWhenUsed/>
    <w:rsid w:val="00153E16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783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19</cp:revision>
  <cp:lastPrinted>2025-10-16T09:24:00Z</cp:lastPrinted>
  <dcterms:created xsi:type="dcterms:W3CDTF">2024-10-11T07:52:00Z</dcterms:created>
  <dcterms:modified xsi:type="dcterms:W3CDTF">2026-09-17T12:36:00Z</dcterms:modified>
</cp:coreProperties>
</file>