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47076C95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E060C0">
        <w:rPr>
          <w:b/>
        </w:rPr>
        <w:t>9</w:t>
      </w:r>
    </w:p>
    <w:p w14:paraId="223B91F4" w14:textId="24062923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 i 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06113FEC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E060C0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52059D3D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Bezpieczeństwo Wewnętrzne studia </w:t>
      </w:r>
      <w:r w:rsidR="00971F9A">
        <w:rPr>
          <w:b/>
        </w:rPr>
        <w:t>drugiego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3367111E" w:rsidR="00C53F49" w:rsidRDefault="00C53F49" w:rsidP="00C53F49">
      <w:pPr>
        <w:jc w:val="both"/>
      </w:pPr>
      <w:r>
        <w:t xml:space="preserve">Na podstawie </w:t>
      </w:r>
      <w:r w:rsidR="00EA3A46">
        <w:t>§ 25 ust. 1 p</w:t>
      </w:r>
      <w:r w:rsidR="00C451EF">
        <w:t>kt</w:t>
      </w:r>
      <w:r w:rsidR="00EA3A46">
        <w:t xml:space="preserve">. 2 Statutu Akademii Handlowej Nauk Stosowanych w Radomiu z dnia 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382C8681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F40C16">
        <w:t>drugiego</w:t>
      </w:r>
      <w:r w:rsidR="00116EB8">
        <w:t xml:space="preserve"> stopnia</w:t>
      </w:r>
      <w:r>
        <w:t>, tok studiów 20</w:t>
      </w:r>
      <w:r w:rsidR="00116EB8">
        <w:t>2</w:t>
      </w:r>
      <w:r w:rsidR="00E060C0">
        <w:t>5</w:t>
      </w:r>
      <w:r>
        <w:t>-202</w:t>
      </w:r>
      <w:r w:rsidR="00E060C0">
        <w:t>7</w:t>
      </w:r>
      <w:r>
        <w:t xml:space="preserve"> kierunku Bezpieczeństwo Wewnętrzne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510A11D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>0 zagadnień  z 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77777777" w:rsidR="00C53F49" w:rsidRPr="009A2C3D" w:rsidRDefault="00C53F49" w:rsidP="00C53F49">
      <w:pPr>
        <w:jc w:val="both"/>
      </w:pPr>
      <w:r>
        <w:t>Zagadnienia są dostępne dla studentów i 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7777777" w:rsidR="00C53F49" w:rsidRPr="009A2C3D" w:rsidRDefault="00C53F49" w:rsidP="00C53F49">
      <w:pPr>
        <w:jc w:val="both"/>
      </w:pPr>
      <w:r w:rsidRPr="009A2C3D">
        <w:t>Zarządzenie wchodzi w życie z 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14087BDA" w:rsidR="00C53F49" w:rsidRPr="009A2C3D" w:rsidRDefault="00C451EF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77777777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 i 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7B1E75C1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EA3A46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7E4C34">
        <w:rPr>
          <w:i/>
        </w:rPr>
        <w:t>9</w:t>
      </w:r>
      <w:r>
        <w:rPr>
          <w:i/>
        </w:rPr>
        <w:t xml:space="preserve"> Dziekana Wydziału Studiów Strategicznych i Technicznych </w:t>
      </w:r>
      <w:r w:rsidR="00116EB8" w:rsidRPr="00116EB8">
        <w:rPr>
          <w:i/>
        </w:rPr>
        <w:t>Akademii Handlowej Nauk Stosowanych w Radomiu</w:t>
      </w:r>
      <w:r w:rsidR="00116EB8">
        <w:rPr>
          <w:i/>
        </w:rPr>
        <w:t xml:space="preserve"> </w:t>
      </w:r>
      <w:r>
        <w:rPr>
          <w:i/>
        </w:rPr>
        <w:t xml:space="preserve">z 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7E4C34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193BAD">
        <w:rPr>
          <w:bCs/>
          <w:i/>
          <w:iCs/>
        </w:rPr>
        <w:t>Bezpieczeństwo Wewnętrzne</w:t>
      </w:r>
      <w:r w:rsidRPr="00C276DB">
        <w:rPr>
          <w:bCs/>
          <w:i/>
          <w:iCs/>
        </w:rPr>
        <w:t xml:space="preserve"> – studia</w:t>
      </w:r>
      <w:r w:rsidR="00F01DB4">
        <w:rPr>
          <w:bCs/>
          <w:i/>
          <w:iCs/>
        </w:rPr>
        <w:t xml:space="preserve"> drugiego stopnia</w:t>
      </w:r>
    </w:p>
    <w:p w14:paraId="3EE2615F" w14:textId="7EB1B889" w:rsidR="006722F4" w:rsidRDefault="006722F4"/>
    <w:p w14:paraId="4DFC1B56" w14:textId="77777777" w:rsidR="008B21BA" w:rsidRPr="00C53F49" w:rsidRDefault="008B21BA" w:rsidP="00D51F21">
      <w:pPr>
        <w:spacing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14:paraId="5BB199B8" w14:textId="22CAB436" w:rsidR="008B21BA" w:rsidRPr="00D51F21" w:rsidRDefault="008B21BA" w:rsidP="001118B0">
      <w:pPr>
        <w:spacing w:line="276" w:lineRule="auto"/>
        <w:ind w:left="360"/>
        <w:jc w:val="center"/>
        <w:rPr>
          <w:b/>
          <w:bCs/>
        </w:rPr>
      </w:pPr>
      <w:r w:rsidRPr="00D51F21">
        <w:rPr>
          <w:b/>
          <w:bCs/>
        </w:rPr>
        <w:t>DLA KIERUNKU BEZPIECZEŃSTWO WEWNĘTRZNE</w:t>
      </w:r>
    </w:p>
    <w:p w14:paraId="4763073A" w14:textId="77777777" w:rsidR="008B21BA" w:rsidRPr="00D51F21" w:rsidRDefault="008B21BA" w:rsidP="001118B0">
      <w:pPr>
        <w:spacing w:line="276" w:lineRule="auto"/>
        <w:ind w:left="360"/>
        <w:jc w:val="center"/>
        <w:rPr>
          <w:b/>
          <w:bCs/>
        </w:rPr>
      </w:pPr>
      <w:r w:rsidRPr="00D51F21">
        <w:rPr>
          <w:b/>
          <w:bCs/>
        </w:rPr>
        <w:t>STUDIA II STOPNIA</w:t>
      </w:r>
    </w:p>
    <w:p w14:paraId="3D191EAD" w14:textId="75FB26C8" w:rsidR="008B21BA" w:rsidRPr="00D51F21" w:rsidRDefault="008B21BA" w:rsidP="001118B0">
      <w:pPr>
        <w:spacing w:line="276" w:lineRule="auto"/>
        <w:ind w:left="360"/>
        <w:jc w:val="center"/>
        <w:rPr>
          <w:b/>
          <w:bCs/>
        </w:rPr>
      </w:pPr>
      <w:r w:rsidRPr="00D51F21">
        <w:rPr>
          <w:b/>
          <w:bCs/>
        </w:rPr>
        <w:t>Rok akademicki 202</w:t>
      </w:r>
      <w:r w:rsidR="007E4C34" w:rsidRPr="00D51F21">
        <w:rPr>
          <w:b/>
          <w:bCs/>
        </w:rPr>
        <w:t>6</w:t>
      </w:r>
      <w:r w:rsidRPr="00D51F21">
        <w:rPr>
          <w:b/>
          <w:bCs/>
        </w:rPr>
        <w:t>/202</w:t>
      </w:r>
      <w:r w:rsidR="007E4C34" w:rsidRPr="00D51F21">
        <w:rPr>
          <w:b/>
          <w:bCs/>
        </w:rPr>
        <w:t>7</w:t>
      </w:r>
    </w:p>
    <w:p w14:paraId="07BAAE30" w14:textId="55705036" w:rsidR="008B21BA" w:rsidRPr="00D51F21" w:rsidRDefault="008B21BA" w:rsidP="001118B0">
      <w:pPr>
        <w:spacing w:after="240" w:line="360" w:lineRule="auto"/>
        <w:jc w:val="center"/>
        <w:rPr>
          <w:b/>
          <w:bCs/>
          <w:u w:val="single"/>
        </w:rPr>
      </w:pPr>
      <w:r w:rsidRPr="00D51F21">
        <w:rPr>
          <w:b/>
          <w:bCs/>
          <w:u w:val="single"/>
        </w:rPr>
        <w:t>ZAGADNIENIA KIERUNKOWE</w:t>
      </w:r>
    </w:p>
    <w:p w14:paraId="7478DFC9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Systemy ochrony praw człowieka.</w:t>
      </w:r>
    </w:p>
    <w:p w14:paraId="5C2E212C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Metody rozwiązywania sporów międzynarodowych.</w:t>
      </w:r>
    </w:p>
    <w:p w14:paraId="70BB7843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Zagrożenia hybrydowe i sposoby przeciwdziałania im.</w:t>
      </w:r>
    </w:p>
    <w:p w14:paraId="6F9A4B97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Wyspecjalizowane organy państwowe odpowiadające za bezpieczeństwo w państwie.</w:t>
      </w:r>
    </w:p>
    <w:p w14:paraId="53E3B745" w14:textId="0D52D040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Znaczenie Unii Europejskiej, NATO i współpracy transgranicznej dla bezpieczeństwa Polski.</w:t>
      </w:r>
    </w:p>
    <w:p w14:paraId="61FAAE74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Rada Bezpieczeństwa Narodowego i Biuro Bezpieczeństwa Narodowego – funkcje i znaczenie.</w:t>
      </w:r>
    </w:p>
    <w:p w14:paraId="6903708E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Stany nadzwyczajne w Polsce – rodzaje, przesłanki i różnice.</w:t>
      </w:r>
    </w:p>
    <w:p w14:paraId="4401DE50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Służby odpowiedzialne za utrzymanie bezpieczeństwa publicznego i powszechnego na szczeblu gminy miejskiej.</w:t>
      </w:r>
    </w:p>
    <w:p w14:paraId="23B438A8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Główne czynniki destabilizacji procesu pokojowego na Bliskim Wschodzie.</w:t>
      </w:r>
    </w:p>
    <w:p w14:paraId="05F05D9C" w14:textId="53EE391B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Współpraca krajowa i międzynarodowa w przeciwdziałaniu zagrożeniom dla bezpieczeństwa wewnętrznego.</w:t>
      </w:r>
    </w:p>
    <w:p w14:paraId="7143D727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Struktura organizacyjna systemu zarządzania kryzysowego w administracji publicznej.</w:t>
      </w:r>
    </w:p>
    <w:p w14:paraId="52A1D6D2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Zadania systemu zarządzania kryzysowego.</w:t>
      </w:r>
    </w:p>
    <w:p w14:paraId="25BB269C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Organizacja Krajowego Systemu Ratowniczo-Gaśniczego.</w:t>
      </w:r>
    </w:p>
    <w:p w14:paraId="0D987D96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Organizacja i zadania Państwowego Ratownictwa Medycznego.</w:t>
      </w:r>
    </w:p>
    <w:p w14:paraId="0C44FC37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Wykorzystanie sztucznej inteligencji, analityki danych i systemów monitoringu w bezpieczeństwie wewnętrznym – korzyści oraz ryzyka.</w:t>
      </w:r>
    </w:p>
    <w:p w14:paraId="5AA68790" w14:textId="4D8C883F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Etyczne, prawne i społeczne granice stosowania nowych technologii w działaniach na rzecz bezpieczeństwa.</w:t>
      </w:r>
    </w:p>
    <w:p w14:paraId="41AB79AD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Czynniki wpływające na poczucie bezpieczeństwa i sposób jego postrzegania.</w:t>
      </w:r>
    </w:p>
    <w:p w14:paraId="6A67BDEF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Kompetencje Sejmu RP w zakresie zachowania bezpieczeństwa państwa.</w:t>
      </w:r>
    </w:p>
    <w:p w14:paraId="28EE5CBB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Bezpieczeństwo energetyczne państwa – uwarunkowania i kierunki kształtowania.</w:t>
      </w:r>
    </w:p>
    <w:p w14:paraId="71E66008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Rola podsystemu militarnego w systemie obronności państwa.</w:t>
      </w:r>
    </w:p>
    <w:p w14:paraId="50619674" w14:textId="2DFEFB22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lastRenderedPageBreak/>
        <w:t>Terroryzm i ekstremizm - źródła, formy, mechanizmy radykalizacji.</w:t>
      </w:r>
    </w:p>
    <w:p w14:paraId="16A4E015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Główne obszary działalności Unii Europejskiej w zakresie kształtowania bezpieczeństwa ekologicznego.</w:t>
      </w:r>
    </w:p>
    <w:p w14:paraId="6B342689" w14:textId="4E35567A" w:rsidR="006E0157" w:rsidRPr="00D51F21" w:rsidRDefault="00D51F21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O</w:t>
      </w:r>
      <w:r w:rsidR="006E0157" w:rsidRPr="00D51F21">
        <w:rPr>
          <w:rFonts w:ascii="Times New Roman" w:hAnsi="Times New Roman"/>
          <w:sz w:val="24"/>
          <w:szCs w:val="24"/>
        </w:rPr>
        <w:t>chrona danych i informacji w systemie bezpieczeństwa państwa.</w:t>
      </w:r>
    </w:p>
    <w:p w14:paraId="64622A3D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Główne zagrożenia bezpieczeństwa globalnego.</w:t>
      </w:r>
    </w:p>
    <w:p w14:paraId="50DEA414" w14:textId="24FB555B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Bezpieczeństwo cyberprzestrzeni państwa – system ochrony i współpraca instytucjonalna.</w:t>
      </w:r>
    </w:p>
    <w:p w14:paraId="2916AB42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Sytuacja kryzysowa – istota, uwarunkowania i znaczenie dla funkcjonowania społeczeństwa.</w:t>
      </w:r>
    </w:p>
    <w:p w14:paraId="489648EE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Komunikacja kryzysowa – zasady, narzędzia i znaczenie w zarządzaniu sytuacją kryzysową.</w:t>
      </w:r>
    </w:p>
    <w:p w14:paraId="35BEEA55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Społeczna odporność na zagrożenia: edukacja dla bezpieczeństwa, samoorganizacja lokalna i przygotowanie obywateli.</w:t>
      </w:r>
    </w:p>
    <w:p w14:paraId="452A3C98" w14:textId="78308070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Bezpieczeństwo w przestrzeni miejskiej i lokalnej – diagnoza zagrożeń oraz programy prewencyjne.</w:t>
      </w:r>
    </w:p>
    <w:p w14:paraId="0063663E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Nowoczesne technologie w zarządzaniu sytuacjami kryzysowymi.</w:t>
      </w:r>
    </w:p>
    <w:p w14:paraId="2E254113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Organizacja i koordynacja medycznych działań ratowniczych w zdarzeniach masowych.</w:t>
      </w:r>
    </w:p>
    <w:p w14:paraId="708EA0D0" w14:textId="663E4BFE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Możliwości doskonalenia polskiego systemu bezpieczeństwa wewnętrznego wobec współczesnych zagrożeń hybrydowych.</w:t>
      </w:r>
    </w:p>
    <w:p w14:paraId="2ABC40CF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Rola ochotniczych formacji ratowniczych w systemie bezpieczeństwa wewnętrznego.</w:t>
      </w:r>
    </w:p>
    <w:p w14:paraId="130F165A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Powszechna mobilizacja – istota i zasady.</w:t>
      </w:r>
    </w:p>
    <w:p w14:paraId="44D9234E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Cywilna kontrola nad Siłami Zbrojnymi RP w demokratycznym państwie prawa.</w:t>
      </w:r>
    </w:p>
    <w:p w14:paraId="592C5268" w14:textId="77777777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Znaczenie członkostwa Polski w NATO dla bezpieczeństwa państwa.</w:t>
      </w:r>
    </w:p>
    <w:p w14:paraId="722331F2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Nielegalna i nieregularna migracja na przykładzie kryzysu migracyjnego na granicy Białorusi z Unią Europejską.</w:t>
      </w:r>
    </w:p>
    <w:p w14:paraId="2FED9734" w14:textId="77777777" w:rsidR="00D51F21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Zarządzanie informacją i procesy decyzyjne w sytuacjach kryzysowych.</w:t>
      </w:r>
    </w:p>
    <w:p w14:paraId="30A77439" w14:textId="48CE7A2F" w:rsidR="006E0157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Koordynacja działań podmiotów systemu bezpieczeństwa państwa w sytuacjach wielowymiarowych zagrożeń.</w:t>
      </w:r>
    </w:p>
    <w:p w14:paraId="341CA020" w14:textId="51698D6C" w:rsidR="0032009A" w:rsidRPr="00D51F21" w:rsidRDefault="006E0157" w:rsidP="001118B0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51F21">
        <w:rPr>
          <w:rFonts w:ascii="Times New Roman" w:hAnsi="Times New Roman"/>
          <w:sz w:val="24"/>
          <w:szCs w:val="24"/>
        </w:rPr>
        <w:t>Pojęcie i proces negocjacji.</w:t>
      </w:r>
    </w:p>
    <w:p w14:paraId="6AE6A3E0" w14:textId="77777777" w:rsidR="0032009A" w:rsidRDefault="0032009A" w:rsidP="00EA3A46">
      <w:pPr>
        <w:spacing w:line="360" w:lineRule="auto"/>
        <w:jc w:val="center"/>
        <w:rPr>
          <w:b/>
          <w:u w:val="single"/>
        </w:rPr>
      </w:pPr>
    </w:p>
    <w:p w14:paraId="65BAD4F8" w14:textId="14F0B45D" w:rsidR="008B21BA" w:rsidRPr="006B3556" w:rsidRDefault="008B21BA" w:rsidP="001118B0">
      <w:pPr>
        <w:spacing w:line="276" w:lineRule="auto"/>
        <w:jc w:val="center"/>
        <w:rPr>
          <w:b/>
          <w:u w:val="single"/>
        </w:rPr>
      </w:pPr>
      <w:r w:rsidRPr="006B3556">
        <w:rPr>
          <w:b/>
          <w:u w:val="single"/>
        </w:rPr>
        <w:t>ZAGADNIENIA SPECJALNOŚCIOWE</w:t>
      </w:r>
    </w:p>
    <w:p w14:paraId="687CEE62" w14:textId="57018A6F" w:rsidR="008B21BA" w:rsidRPr="003C202B" w:rsidRDefault="003C653C" w:rsidP="001118B0">
      <w:pPr>
        <w:spacing w:after="240" w:line="360" w:lineRule="auto"/>
        <w:jc w:val="center"/>
        <w:rPr>
          <w:b/>
        </w:rPr>
      </w:pPr>
      <w:r>
        <w:rPr>
          <w:b/>
        </w:rPr>
        <w:t xml:space="preserve">Specjalność </w:t>
      </w:r>
      <w:r w:rsidR="00E41E3C" w:rsidRPr="00E43AE8">
        <w:rPr>
          <w:b/>
          <w:bCs/>
        </w:rPr>
        <w:t>ZAPOBIEGANIE I ZWALCZANIE PRZESTĘPCZOŚCI</w:t>
      </w:r>
    </w:p>
    <w:p w14:paraId="0C11F010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Determinanty przestępczości – ujęcie kryminologiczne i socjologiczne.</w:t>
      </w:r>
    </w:p>
    <w:p w14:paraId="27335654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Struktura i kompetencje organów ścigania w Polsce.</w:t>
      </w:r>
    </w:p>
    <w:p w14:paraId="7783970D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lastRenderedPageBreak/>
        <w:t>System przeciwdziałania przestępczości zorganizowanej w Polsce.</w:t>
      </w:r>
    </w:p>
    <w:p w14:paraId="0E46B2F4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Profilaktyka kryminalna a prewencja policyjna – cele i metody.</w:t>
      </w:r>
    </w:p>
    <w:p w14:paraId="494BFD67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Metody analizy kryminalnej w zwalczaniu przestępczości.</w:t>
      </w:r>
    </w:p>
    <w:p w14:paraId="03452C31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Międzynarodowa współpraca w zwalczaniu przestępczości transgranicznej.</w:t>
      </w:r>
    </w:p>
    <w:p w14:paraId="0FBD0A21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Rola Europolu i Interpolu w zwalczaniu przestępczości.</w:t>
      </w:r>
    </w:p>
    <w:p w14:paraId="623A3B8D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Specyfika zwalczania przestępczości ekonomicznej i gospodarczej.</w:t>
      </w:r>
    </w:p>
    <w:p w14:paraId="6F0B7D77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Cyberprzestępczość – istota i wyzwania w jej zwalczaniu.</w:t>
      </w:r>
    </w:p>
    <w:p w14:paraId="26D937FE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Identyfikacja i ocena obszarów podwyższonego ryzyka przestępczości.</w:t>
      </w:r>
    </w:p>
    <w:p w14:paraId="7645C531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Przestępczość korupcyjna – charakterystyka oraz metody zapobiegania i wykrywania.</w:t>
      </w:r>
    </w:p>
    <w:p w14:paraId="6DAAD24C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Prewencja ogólna, szczególna, indywidualna i społeczna.</w:t>
      </w:r>
    </w:p>
    <w:p w14:paraId="4D52A438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Przestępczość zorganizowana – istota i formy działalności w Polsce i Europie.</w:t>
      </w:r>
    </w:p>
    <w:p w14:paraId="7672E6DC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Kontrola, przejrzystość życia publicznego i ochrona sygnalistów w przeciwdziałaniu korupcji.</w:t>
      </w:r>
    </w:p>
    <w:p w14:paraId="310F830E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Narzędzia cyfrowe w prewencji kryminalnej – ograniczenia i wyzwania.</w:t>
      </w:r>
    </w:p>
    <w:p w14:paraId="3B2370C0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Budowanie zaufania społecznego do Policji w środowiskach zagrożonych wykluczeniem i przestępczością.</w:t>
      </w:r>
    </w:p>
    <w:p w14:paraId="59A94639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Przeciwdziałanie radykalizacji i ekstremizmowi w przestrzeni publicznej i cyfrowej.</w:t>
      </w:r>
    </w:p>
    <w:p w14:paraId="4DF7D5B1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Rola mediów i komunikacji społecznej w kształtowaniu poczucia bezpieczeństwa.</w:t>
      </w:r>
    </w:p>
    <w:p w14:paraId="37CDD11A" w14:textId="77777777" w:rsidR="00BC2913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Prawne i operacyjne instrumenty przeciwdziałania przestępczości finansowej.</w:t>
      </w:r>
    </w:p>
    <w:p w14:paraId="54CBD121" w14:textId="6DDB9833" w:rsidR="00F40C16" w:rsidRDefault="00BC2913" w:rsidP="00BC2913">
      <w:pPr>
        <w:numPr>
          <w:ilvl w:val="0"/>
          <w:numId w:val="10"/>
        </w:numPr>
        <w:spacing w:line="360" w:lineRule="auto"/>
        <w:jc w:val="both"/>
      </w:pPr>
      <w:r>
        <w:t>Wolność od tortur jako prawo bezwzględne w prawie krajowym i międzynarodowym.</w:t>
      </w:r>
    </w:p>
    <w:p w14:paraId="43494F0E" w14:textId="77777777" w:rsidR="00B77902" w:rsidRDefault="00B77902" w:rsidP="00B77902">
      <w:pPr>
        <w:spacing w:line="360" w:lineRule="auto"/>
        <w:jc w:val="both"/>
      </w:pPr>
    </w:p>
    <w:p w14:paraId="07CA4469" w14:textId="77777777" w:rsidR="00B77902" w:rsidRPr="00130341" w:rsidRDefault="00B77902" w:rsidP="00B77902">
      <w:pPr>
        <w:pStyle w:val="Akapitzlist1"/>
        <w:shd w:val="clear" w:color="auto" w:fill="FFFFFF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0341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14:paraId="0ACE5965" w14:textId="403072BA" w:rsidR="00B77902" w:rsidRPr="00B77902" w:rsidRDefault="00B77902" w:rsidP="00B77902">
      <w:pPr>
        <w:shd w:val="clear" w:color="auto" w:fill="FFFFFF"/>
        <w:spacing w:after="240" w:line="276" w:lineRule="auto"/>
        <w:jc w:val="center"/>
        <w:rPr>
          <w:b/>
        </w:rPr>
      </w:pPr>
      <w:r w:rsidRPr="008D5A8E">
        <w:rPr>
          <w:b/>
        </w:rPr>
        <w:t xml:space="preserve">Specjalność </w:t>
      </w:r>
      <w:r>
        <w:rPr>
          <w:b/>
        </w:rPr>
        <w:t>BEZPIECZEŃSTWO PORTÓW LOTNICZYCH</w:t>
      </w:r>
    </w:p>
    <w:p w14:paraId="00B8F729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Zagrożenia wewnętrzne w bezpieczeństwie lotnictwa cywilnego.</w:t>
      </w:r>
    </w:p>
    <w:p w14:paraId="52EE89C7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Infrastruktura portu lotniczego – elementy i funkcje.</w:t>
      </w:r>
    </w:p>
    <w:p w14:paraId="242885BE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Źródła prawa lotniczego krajowego, europejskiego i międzynarodowego.</w:t>
      </w:r>
    </w:p>
    <w:p w14:paraId="419F7EEC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System zarządzania bezpieczeństwem (SMS) w porcie lotniczym.</w:t>
      </w:r>
    </w:p>
    <w:p w14:paraId="1ED506B8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Wpływ infrastruktury lotniskowej na bezpieczeństwo operacji lotniczych.</w:t>
      </w:r>
    </w:p>
    <w:p w14:paraId="6D6F724B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Zarządzanie ryzykiem w działalności portu lotniczego.</w:t>
      </w:r>
    </w:p>
    <w:p w14:paraId="6780A2F3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Terroryzm lotniczy jako zagrożenie dla portów lotniczych.</w:t>
      </w:r>
    </w:p>
    <w:p w14:paraId="4CF84048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Organy administracji lotniczej – zadania i kompetencje w zakresie bezpieczeństwa.</w:t>
      </w:r>
    </w:p>
    <w:p w14:paraId="6AC6FB98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Monitoring, kontrola dostępu i identyfikacja osób w portach lotniczych.</w:t>
      </w:r>
    </w:p>
    <w:p w14:paraId="6EAEF692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Ochrona lotnictwa cywilnego przed aktami bezprawnej ingerencji – regulacje prawne.</w:t>
      </w:r>
    </w:p>
    <w:p w14:paraId="49361EB9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Kultura bezpieczeństwa w organizacji portu lotniczego.</w:t>
      </w:r>
    </w:p>
    <w:p w14:paraId="3C457766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lastRenderedPageBreak/>
        <w:t>Wymagania infrastrukturalne w ochronie lotnictwa cywilnego.</w:t>
      </w:r>
    </w:p>
    <w:p w14:paraId="500255E0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Zarządzanie ciągłością działania portu lotniczego w sytuacjach kryzysowych.</w:t>
      </w:r>
    </w:p>
    <w:p w14:paraId="04A559B4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Znaczenie regulacji EASA i ICAO dla funkcjonowani</w:t>
      </w:r>
      <w:bookmarkStart w:id="0" w:name="_GoBack"/>
      <w:bookmarkEnd w:id="0"/>
      <w:r w:rsidRPr="00B77902">
        <w:rPr>
          <w:rFonts w:ascii="Times New Roman" w:hAnsi="Times New Roman"/>
          <w:sz w:val="24"/>
        </w:rPr>
        <w:t>a portów lotniczych.</w:t>
      </w:r>
    </w:p>
    <w:p w14:paraId="566F145F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Bezzałogowe statki powietrzne (UAV) jako zagrożenie dla portów lotniczych.</w:t>
      </w:r>
    </w:p>
    <w:p w14:paraId="7E6D7360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Współpraca służb i podmiotów publicznych oraz prywatnych w systemie bezpieczeństwa portu lotniczego.</w:t>
      </w:r>
    </w:p>
    <w:p w14:paraId="47F0152C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 xml:space="preserve">Rozwój technologiczny i koncepcja „smart </w:t>
      </w:r>
      <w:proofErr w:type="spellStart"/>
      <w:r w:rsidRPr="00B77902">
        <w:rPr>
          <w:rFonts w:ascii="Times New Roman" w:hAnsi="Times New Roman"/>
          <w:sz w:val="24"/>
        </w:rPr>
        <w:t>airport</w:t>
      </w:r>
      <w:proofErr w:type="spellEnd"/>
      <w:r w:rsidRPr="00B77902">
        <w:rPr>
          <w:rFonts w:ascii="Times New Roman" w:hAnsi="Times New Roman"/>
          <w:sz w:val="24"/>
        </w:rPr>
        <w:t>” a bezpieczeństwo portów lotniczych.</w:t>
      </w:r>
    </w:p>
    <w:p w14:paraId="60691705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Współczesne zagrożenia bezpieczeństwa lotnictwa cywilnego.</w:t>
      </w:r>
    </w:p>
    <w:p w14:paraId="3AA4F315" w14:textId="77777777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proofErr w:type="spellStart"/>
      <w:r w:rsidRPr="00B77902">
        <w:rPr>
          <w:rFonts w:ascii="Times New Roman" w:hAnsi="Times New Roman"/>
          <w:sz w:val="24"/>
        </w:rPr>
        <w:t>Cyberzagrożenia</w:t>
      </w:r>
      <w:proofErr w:type="spellEnd"/>
      <w:r w:rsidRPr="00B77902">
        <w:rPr>
          <w:rFonts w:ascii="Times New Roman" w:hAnsi="Times New Roman"/>
          <w:sz w:val="24"/>
        </w:rPr>
        <w:t xml:space="preserve"> infrastruktury portów lotniczych i systemów zarządzania ruchem lotniczym.</w:t>
      </w:r>
    </w:p>
    <w:p w14:paraId="29483CDA" w14:textId="650E456B" w:rsidR="00B77902" w:rsidRPr="00B77902" w:rsidRDefault="00B77902" w:rsidP="00B77902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/>
          <w:sz w:val="24"/>
        </w:rPr>
      </w:pPr>
      <w:r w:rsidRPr="00B77902">
        <w:rPr>
          <w:rFonts w:ascii="Times New Roman" w:hAnsi="Times New Roman"/>
          <w:sz w:val="24"/>
        </w:rPr>
        <w:t>Przetwarzanie danych osobowych i monitoring w portach lotniczych – aspekty prawne.</w:t>
      </w:r>
    </w:p>
    <w:sectPr w:rsidR="00B77902" w:rsidRPr="00B77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72B35"/>
    <w:multiLevelType w:val="hybridMultilevel"/>
    <w:tmpl w:val="AEDCB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8E8648F"/>
    <w:multiLevelType w:val="hybridMultilevel"/>
    <w:tmpl w:val="B1C08D26"/>
    <w:lvl w:ilvl="0" w:tplc="210E676E">
      <w:start w:val="1"/>
      <w:numFmt w:val="decimal"/>
      <w:lvlText w:val="%1."/>
      <w:lvlJc w:val="left"/>
      <w:pPr>
        <w:ind w:left="-171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48F93A91"/>
    <w:multiLevelType w:val="hybridMultilevel"/>
    <w:tmpl w:val="2A88F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891BBE"/>
    <w:multiLevelType w:val="hybridMultilevel"/>
    <w:tmpl w:val="FA789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  <w:num w:numId="12">
    <w:abstractNumId w:val="4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010A26"/>
    <w:rsid w:val="001118B0"/>
    <w:rsid w:val="00116EB8"/>
    <w:rsid w:val="00193BAD"/>
    <w:rsid w:val="001D134A"/>
    <w:rsid w:val="0032009A"/>
    <w:rsid w:val="003C653C"/>
    <w:rsid w:val="004970CC"/>
    <w:rsid w:val="005D7A4C"/>
    <w:rsid w:val="006722F4"/>
    <w:rsid w:val="006E0157"/>
    <w:rsid w:val="007E4C34"/>
    <w:rsid w:val="00871684"/>
    <w:rsid w:val="008B21BA"/>
    <w:rsid w:val="00971F9A"/>
    <w:rsid w:val="00B22490"/>
    <w:rsid w:val="00B77902"/>
    <w:rsid w:val="00BC2913"/>
    <w:rsid w:val="00C451EF"/>
    <w:rsid w:val="00C53F49"/>
    <w:rsid w:val="00CA1598"/>
    <w:rsid w:val="00D07C9A"/>
    <w:rsid w:val="00D51F21"/>
    <w:rsid w:val="00E060C0"/>
    <w:rsid w:val="00E41E3C"/>
    <w:rsid w:val="00E5465F"/>
    <w:rsid w:val="00EA3A46"/>
    <w:rsid w:val="00EC182D"/>
    <w:rsid w:val="00F01DB4"/>
    <w:rsid w:val="00F4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24</cp:revision>
  <dcterms:created xsi:type="dcterms:W3CDTF">2024-10-11T07:41:00Z</dcterms:created>
  <dcterms:modified xsi:type="dcterms:W3CDTF">2026-09-17T12:00:00Z</dcterms:modified>
</cp:coreProperties>
</file>