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35699" w14:textId="77777777" w:rsidR="00AB14D1" w:rsidRDefault="00AB14D1" w:rsidP="00AB14D1">
      <w:pPr>
        <w:jc w:val="center"/>
        <w:rPr>
          <w:b/>
        </w:rPr>
      </w:pPr>
      <w:r>
        <w:rPr>
          <w:b/>
        </w:rPr>
        <w:t>Zarządzenie nr 16</w:t>
      </w:r>
    </w:p>
    <w:p w14:paraId="139E08A5" w14:textId="77777777" w:rsidR="00AB14D1" w:rsidRDefault="00AB14D1" w:rsidP="00AB14D1">
      <w:pPr>
        <w:jc w:val="center"/>
        <w:rPr>
          <w:b/>
        </w:rPr>
      </w:pPr>
      <w:r>
        <w:rPr>
          <w:b/>
        </w:rPr>
        <w:t xml:space="preserve">Dziekana Wydziału Nauk Społecznych </w:t>
      </w:r>
    </w:p>
    <w:p w14:paraId="30BE6C59" w14:textId="77777777" w:rsidR="00AB14D1" w:rsidRDefault="00AB14D1" w:rsidP="00AB14D1">
      <w:pPr>
        <w:jc w:val="center"/>
        <w:rPr>
          <w:b/>
        </w:rPr>
      </w:pPr>
      <w:r>
        <w:rPr>
          <w:b/>
        </w:rPr>
        <w:t>Akademii Handlowej Nauk Stosowanych w Radomiu</w:t>
      </w:r>
    </w:p>
    <w:p w14:paraId="144F53F9" w14:textId="77777777" w:rsidR="00AB14D1" w:rsidRDefault="00AB14D1" w:rsidP="00AB14D1">
      <w:pPr>
        <w:jc w:val="center"/>
        <w:rPr>
          <w:b/>
        </w:rPr>
      </w:pPr>
      <w:r>
        <w:rPr>
          <w:b/>
        </w:rPr>
        <w:t>z 1 października 2026 roku</w:t>
      </w:r>
    </w:p>
    <w:p w14:paraId="42552F6E" w14:textId="77777777" w:rsidR="00AB14D1" w:rsidRDefault="00AB14D1" w:rsidP="00AB14D1">
      <w:pPr>
        <w:jc w:val="center"/>
        <w:rPr>
          <w:b/>
        </w:rPr>
      </w:pPr>
      <w:r>
        <w:rPr>
          <w:b/>
        </w:rPr>
        <w:t>w sprawie określenia zagadnień do egzaminu dyplomowego dla kierunku Psychologia studia pierwszego i drugiego stopnia</w:t>
      </w:r>
    </w:p>
    <w:p w14:paraId="59095CBC" w14:textId="77777777" w:rsidR="00AB14D1" w:rsidRDefault="00AB14D1" w:rsidP="00AB14D1">
      <w:pPr>
        <w:jc w:val="center"/>
        <w:rPr>
          <w:b/>
        </w:rPr>
      </w:pPr>
    </w:p>
    <w:p w14:paraId="573786F7" w14:textId="77777777" w:rsidR="00AB14D1" w:rsidRDefault="00AB14D1" w:rsidP="00AB14D1">
      <w:pPr>
        <w:jc w:val="both"/>
      </w:pPr>
    </w:p>
    <w:p w14:paraId="08419670" w14:textId="77777777" w:rsidR="00AB14D1" w:rsidRDefault="00AB14D1" w:rsidP="00AB14D1">
      <w:pPr>
        <w:jc w:val="both"/>
      </w:pPr>
    </w:p>
    <w:p w14:paraId="5734FEF5" w14:textId="77777777" w:rsidR="00AB14D1" w:rsidRDefault="00AB14D1" w:rsidP="00AB14D1">
      <w:pPr>
        <w:jc w:val="both"/>
      </w:pPr>
      <w:r>
        <w:t xml:space="preserve">Na podstawie Statutu Akademii Handlowej Nauk Stosowanych z dnia z dnia </w:t>
      </w:r>
      <w:r>
        <w:rPr>
          <w:color w:val="000000" w:themeColor="text1"/>
        </w:rPr>
        <w:t xml:space="preserve">19 grudnia 2024 </w:t>
      </w:r>
      <w:r>
        <w:t>oraz Zarządzenia nr 54 Rektora Uczelni z dnia 6 września 2024 roku zarządzam, co następuje:</w:t>
      </w:r>
    </w:p>
    <w:p w14:paraId="2725E6A8" w14:textId="77777777" w:rsidR="00AB14D1" w:rsidRDefault="00AB14D1" w:rsidP="00AB14D1">
      <w:pPr>
        <w:ind w:firstLine="720"/>
        <w:jc w:val="both"/>
      </w:pPr>
    </w:p>
    <w:p w14:paraId="740E72DA" w14:textId="77777777" w:rsidR="00AB14D1" w:rsidRDefault="00AB14D1" w:rsidP="00AB14D1">
      <w:pPr>
        <w:ind w:firstLine="720"/>
        <w:jc w:val="both"/>
      </w:pPr>
    </w:p>
    <w:p w14:paraId="6958FB65" w14:textId="77777777" w:rsidR="00AB14D1" w:rsidRDefault="00AB14D1" w:rsidP="00AB14D1">
      <w:pPr>
        <w:ind w:firstLine="720"/>
        <w:jc w:val="center"/>
      </w:pPr>
      <w:r>
        <w:t>§ 1</w:t>
      </w:r>
    </w:p>
    <w:p w14:paraId="15B1489B" w14:textId="77777777" w:rsidR="00AB14D1" w:rsidRDefault="00AB14D1" w:rsidP="00AB14D1">
      <w:pPr>
        <w:ind w:firstLine="720"/>
        <w:jc w:val="center"/>
      </w:pPr>
    </w:p>
    <w:p w14:paraId="4D3B1FE6" w14:textId="77777777" w:rsidR="00AB14D1" w:rsidRDefault="00AB14D1" w:rsidP="00AB14D1">
      <w:pPr>
        <w:ind w:firstLine="360"/>
        <w:jc w:val="both"/>
      </w:pPr>
      <w:r>
        <w:t>Studentów kierunku Psychologia, studia pierwszego stopnia tok studiów 2024-2027 i studentów drugiego stopnia tok studiów 2025-2027, obowiązuje następująca liczba zagadnień podczas egzaminów dyplomowych:</w:t>
      </w:r>
    </w:p>
    <w:p w14:paraId="7043A03B" w14:textId="77777777" w:rsidR="00AB14D1" w:rsidRDefault="00AB14D1" w:rsidP="00AB14D1">
      <w:pPr>
        <w:pStyle w:val="Standard"/>
        <w:jc w:val="center"/>
      </w:pPr>
    </w:p>
    <w:p w14:paraId="6D66E3ED" w14:textId="77777777" w:rsidR="00AB14D1" w:rsidRDefault="00AB14D1" w:rsidP="00AB14D1">
      <w:pPr>
        <w:pStyle w:val="Standard"/>
        <w:autoSpaceDN w:val="0"/>
        <w:ind w:left="360"/>
        <w:rPr>
          <w:bCs/>
        </w:rPr>
      </w:pPr>
      <w:r>
        <w:rPr>
          <w:bCs/>
        </w:rPr>
        <w:t>- 40 zagadnień ogólnych/kierunkowych;</w:t>
      </w:r>
    </w:p>
    <w:p w14:paraId="1F42FBE7" w14:textId="77777777" w:rsidR="00AB14D1" w:rsidRDefault="00AB14D1" w:rsidP="00AB14D1">
      <w:pPr>
        <w:pStyle w:val="Standard"/>
        <w:autoSpaceDN w:val="0"/>
        <w:ind w:left="360"/>
        <w:rPr>
          <w:rFonts w:cs="Times New Roman"/>
          <w:bCs/>
          <w:color w:val="000000"/>
        </w:rPr>
      </w:pPr>
      <w:r>
        <w:rPr>
          <w:bCs/>
        </w:rPr>
        <w:t>- 20 zagadnień z wybranej specjalności.</w:t>
      </w:r>
    </w:p>
    <w:p w14:paraId="67C689AF" w14:textId="77777777" w:rsidR="00AB14D1" w:rsidRDefault="00AB14D1" w:rsidP="00AB14D1">
      <w:pPr>
        <w:ind w:firstLine="720"/>
        <w:jc w:val="both"/>
      </w:pPr>
    </w:p>
    <w:p w14:paraId="469CE454" w14:textId="77777777" w:rsidR="00AB14D1" w:rsidRDefault="00AB14D1" w:rsidP="00AB14D1">
      <w:pPr>
        <w:ind w:firstLine="720"/>
        <w:jc w:val="center"/>
      </w:pPr>
      <w:r>
        <w:t>§ 2</w:t>
      </w:r>
    </w:p>
    <w:p w14:paraId="0BF0379F" w14:textId="77777777" w:rsidR="00AB14D1" w:rsidRDefault="00AB14D1" w:rsidP="00AB14D1">
      <w:pPr>
        <w:ind w:firstLine="720"/>
        <w:jc w:val="center"/>
      </w:pPr>
    </w:p>
    <w:p w14:paraId="19927EB8" w14:textId="77777777" w:rsidR="00AB14D1" w:rsidRDefault="00AB14D1" w:rsidP="00AB14D1">
      <w:pPr>
        <w:ind w:firstLine="708"/>
        <w:jc w:val="both"/>
      </w:pPr>
      <w:r>
        <w:t>Zagadnienia są dostępne dla studentów i nauczycieli akademickich w systemie Wirtualny Dziekanat.</w:t>
      </w:r>
    </w:p>
    <w:p w14:paraId="241415EA" w14:textId="77777777" w:rsidR="00AB14D1" w:rsidRDefault="00AB14D1" w:rsidP="00AB14D1">
      <w:pPr>
        <w:ind w:firstLine="720"/>
        <w:jc w:val="both"/>
      </w:pPr>
    </w:p>
    <w:p w14:paraId="319966E9" w14:textId="77777777" w:rsidR="00AB14D1" w:rsidRDefault="00AB14D1" w:rsidP="00AB14D1">
      <w:pPr>
        <w:ind w:firstLine="720"/>
        <w:jc w:val="center"/>
      </w:pPr>
      <w:r>
        <w:t>§ 3</w:t>
      </w:r>
    </w:p>
    <w:p w14:paraId="650DB542" w14:textId="77777777" w:rsidR="00AB14D1" w:rsidRDefault="00AB14D1" w:rsidP="00AB14D1">
      <w:pPr>
        <w:ind w:firstLine="720"/>
        <w:jc w:val="center"/>
      </w:pPr>
    </w:p>
    <w:p w14:paraId="59EFA328" w14:textId="77777777" w:rsidR="00AB14D1" w:rsidRDefault="00AB14D1" w:rsidP="00AB14D1">
      <w:pPr>
        <w:ind w:firstLine="708"/>
        <w:jc w:val="both"/>
      </w:pPr>
      <w:r>
        <w:t>Wykaz zagadnień stanowi załącznik do niniejszego zarządzenia.</w:t>
      </w:r>
    </w:p>
    <w:p w14:paraId="59530AE0" w14:textId="77777777" w:rsidR="00AB14D1" w:rsidRDefault="00AB14D1" w:rsidP="00AB14D1">
      <w:pPr>
        <w:ind w:firstLine="720"/>
        <w:jc w:val="center"/>
      </w:pPr>
    </w:p>
    <w:p w14:paraId="61D508F1" w14:textId="77777777" w:rsidR="00AB14D1" w:rsidRDefault="00AB14D1" w:rsidP="00AB14D1">
      <w:pPr>
        <w:ind w:firstLine="720"/>
        <w:jc w:val="center"/>
      </w:pPr>
      <w:r>
        <w:t>§ 4</w:t>
      </w:r>
    </w:p>
    <w:p w14:paraId="44C4F006" w14:textId="77777777" w:rsidR="00AB14D1" w:rsidRDefault="00AB14D1" w:rsidP="00AB14D1">
      <w:pPr>
        <w:ind w:firstLine="720"/>
        <w:jc w:val="center"/>
      </w:pPr>
    </w:p>
    <w:p w14:paraId="5238F44A" w14:textId="77777777" w:rsidR="00AB14D1" w:rsidRDefault="00AB14D1" w:rsidP="00AB14D1">
      <w:pPr>
        <w:ind w:firstLine="708"/>
        <w:jc w:val="both"/>
      </w:pPr>
      <w:r>
        <w:t>Zarządzenie wchodzi w życie z dniem podpisania.</w:t>
      </w:r>
    </w:p>
    <w:p w14:paraId="6E009A1D" w14:textId="77777777" w:rsidR="00AB14D1" w:rsidRDefault="00AB14D1" w:rsidP="00AB14D1">
      <w:pPr>
        <w:ind w:firstLine="720"/>
        <w:jc w:val="both"/>
      </w:pPr>
    </w:p>
    <w:p w14:paraId="28254592" w14:textId="77777777" w:rsidR="00AB14D1" w:rsidRDefault="00AB14D1" w:rsidP="00AB14D1">
      <w:pPr>
        <w:ind w:firstLine="720"/>
        <w:jc w:val="both"/>
      </w:pPr>
    </w:p>
    <w:p w14:paraId="38EAAF68" w14:textId="77777777" w:rsidR="00AB14D1" w:rsidRDefault="00AB14D1" w:rsidP="00AB14D1">
      <w:pPr>
        <w:ind w:firstLine="720"/>
        <w:jc w:val="both"/>
      </w:pPr>
    </w:p>
    <w:p w14:paraId="1E57F98E" w14:textId="77777777" w:rsidR="00AB14D1" w:rsidRDefault="00AB14D1" w:rsidP="00AB14D1">
      <w:pPr>
        <w:ind w:firstLine="720"/>
        <w:jc w:val="both"/>
      </w:pPr>
    </w:p>
    <w:p w14:paraId="300D8F15" w14:textId="77777777" w:rsidR="00AB14D1" w:rsidRDefault="00AB14D1" w:rsidP="00AB14D1">
      <w:pPr>
        <w:ind w:firstLine="720"/>
        <w:jc w:val="both"/>
      </w:pPr>
    </w:p>
    <w:p w14:paraId="1336F1F2" w14:textId="77777777" w:rsidR="00AB14D1" w:rsidRDefault="00AB14D1" w:rsidP="00AB14D1">
      <w:pPr>
        <w:ind w:left="4248" w:right="480"/>
        <w:jc w:val="center"/>
      </w:pPr>
      <w:r>
        <w:rPr>
          <w:rStyle w:val="Pogrubienie"/>
          <w:rFonts w:eastAsiaTheme="majorEastAsia"/>
        </w:rPr>
        <w:t>Dziekan Wydziału Nauk Społecznych</w:t>
      </w:r>
    </w:p>
    <w:p w14:paraId="3DEC982C" w14:textId="77777777" w:rsidR="00AB14D1" w:rsidRDefault="00AB14D1" w:rsidP="00AB14D1">
      <w:pPr>
        <w:ind w:left="4248" w:right="480"/>
        <w:jc w:val="center"/>
      </w:pPr>
    </w:p>
    <w:p w14:paraId="38969FDC" w14:textId="77777777" w:rsidR="00AB14D1" w:rsidRDefault="00AB14D1" w:rsidP="00AB14D1">
      <w:pPr>
        <w:ind w:left="4248" w:right="480"/>
        <w:jc w:val="center"/>
      </w:pPr>
      <w:r>
        <w:t>Prof. AHNS dr Martyna Majewska</w:t>
      </w:r>
    </w:p>
    <w:p w14:paraId="057F8687" w14:textId="77777777" w:rsidR="00AB14D1" w:rsidRDefault="00AB14D1" w:rsidP="00AB14D1"/>
    <w:p w14:paraId="0858A716" w14:textId="77777777" w:rsidR="00AB14D1" w:rsidRDefault="00AB14D1" w:rsidP="00AB14D1"/>
    <w:p w14:paraId="4C0EB9C1" w14:textId="77777777" w:rsidR="00AB14D1" w:rsidRDefault="00AB14D1" w:rsidP="00AB14D1"/>
    <w:p w14:paraId="6BF8F4E1" w14:textId="77777777" w:rsidR="00AB14D1" w:rsidRDefault="00AB14D1" w:rsidP="00AB14D1"/>
    <w:p w14:paraId="48D75ECA" w14:textId="77777777" w:rsidR="00AB14D1" w:rsidRDefault="00AB14D1" w:rsidP="00AB14D1"/>
    <w:p w14:paraId="095C3963" w14:textId="77777777" w:rsidR="00AB14D1" w:rsidRDefault="00AB14D1" w:rsidP="00AB14D1"/>
    <w:p w14:paraId="321241D0" w14:textId="77777777" w:rsidR="00AB14D1" w:rsidRDefault="00AB14D1" w:rsidP="00AB14D1">
      <w:pPr>
        <w:jc w:val="center"/>
        <w:rPr>
          <w:bCs/>
          <w:i/>
          <w:iCs/>
        </w:rPr>
      </w:pPr>
      <w:r>
        <w:rPr>
          <w:i/>
        </w:rPr>
        <w:br/>
      </w:r>
      <w:r>
        <w:rPr>
          <w:i/>
        </w:rPr>
        <w:br/>
      </w:r>
      <w:r>
        <w:rPr>
          <w:i/>
        </w:rPr>
        <w:lastRenderedPageBreak/>
        <w:t>Załącznik do Zarządzenia nr 16 Dziekana Wydziału Nauk Społecznych AHNS w Radomiu</w:t>
      </w:r>
      <w:r>
        <w:rPr>
          <w:i/>
        </w:rPr>
        <w:br/>
        <w:t xml:space="preserve"> z 1 października 2026 roku w sprawie </w:t>
      </w:r>
      <w:r>
        <w:rPr>
          <w:bCs/>
          <w:i/>
          <w:iCs/>
        </w:rPr>
        <w:t>określenia zagadnień do egzaminu dyplomowego dla kierunku Psychologia – studia pierwszego stopnia tok studiów 2024-2027 i studiów drugiego stopnia  tok studiów 2025-2027</w:t>
      </w:r>
    </w:p>
    <w:p w14:paraId="3D8D0DF0" w14:textId="77777777" w:rsidR="00AB14D1" w:rsidRDefault="00AB14D1" w:rsidP="00AB14D1">
      <w:pPr>
        <w:spacing w:line="360" w:lineRule="auto"/>
        <w:ind w:right="-3"/>
        <w:jc w:val="center"/>
        <w:rPr>
          <w:b/>
          <w:sz w:val="28"/>
          <w:szCs w:val="22"/>
        </w:rPr>
      </w:pPr>
    </w:p>
    <w:p w14:paraId="63E02372" w14:textId="77777777" w:rsidR="00AB14D1" w:rsidRDefault="00AB14D1" w:rsidP="00AB14D1">
      <w:pPr>
        <w:spacing w:line="360" w:lineRule="auto"/>
        <w:ind w:right="-3"/>
        <w:jc w:val="center"/>
        <w:rPr>
          <w:b/>
          <w:sz w:val="28"/>
          <w:szCs w:val="22"/>
        </w:rPr>
      </w:pPr>
    </w:p>
    <w:p w14:paraId="026B448B" w14:textId="675C8827" w:rsidR="00AB14D1" w:rsidRDefault="00AB14D1" w:rsidP="00AB14D1">
      <w:pPr>
        <w:spacing w:line="360" w:lineRule="auto"/>
        <w:ind w:right="-3"/>
        <w:jc w:val="center"/>
      </w:pPr>
      <w:r>
        <w:rPr>
          <w:b/>
          <w:sz w:val="28"/>
          <w:szCs w:val="22"/>
        </w:rPr>
        <w:t>ZAGADNIENIA NA EGZAMIN DYPLOMOWY</w:t>
      </w:r>
    </w:p>
    <w:p w14:paraId="68314A22" w14:textId="77777777" w:rsidR="00AB14D1" w:rsidRDefault="00AB14D1" w:rsidP="00AB14D1">
      <w:pPr>
        <w:spacing w:line="360" w:lineRule="auto"/>
        <w:jc w:val="center"/>
      </w:pPr>
      <w:r>
        <w:rPr>
          <w:b/>
          <w:sz w:val="28"/>
          <w:szCs w:val="22"/>
        </w:rPr>
        <w:t>DLA KIERUNKU</w:t>
      </w:r>
      <w:r>
        <w:rPr>
          <w:sz w:val="26"/>
          <w:szCs w:val="22"/>
        </w:rPr>
        <w:t xml:space="preserve"> </w:t>
      </w:r>
      <w:r>
        <w:rPr>
          <w:b/>
          <w:sz w:val="28"/>
          <w:szCs w:val="22"/>
        </w:rPr>
        <w:t>PSYCHOLOGIA STUDIA DRUGIEGO STOPNIA</w:t>
      </w:r>
    </w:p>
    <w:p w14:paraId="45F5D8B0" w14:textId="77777777" w:rsidR="00AB14D1" w:rsidRDefault="00AB14D1" w:rsidP="00AB14D1">
      <w:pPr>
        <w:spacing w:line="360" w:lineRule="auto"/>
        <w:ind w:left="720"/>
        <w:jc w:val="center"/>
      </w:pPr>
      <w:r>
        <w:rPr>
          <w:b/>
          <w:sz w:val="28"/>
          <w:szCs w:val="22"/>
        </w:rPr>
        <w:t>Rok akademicki 2026/2027</w:t>
      </w:r>
    </w:p>
    <w:p w14:paraId="0386BCB8" w14:textId="77777777" w:rsidR="00AB14D1" w:rsidRDefault="00AB14D1" w:rsidP="00AB14D1">
      <w:pPr>
        <w:spacing w:line="360" w:lineRule="auto"/>
        <w:jc w:val="both"/>
        <w:rPr>
          <w:b/>
          <w:sz w:val="26"/>
          <w:szCs w:val="22"/>
        </w:rPr>
      </w:pPr>
    </w:p>
    <w:p w14:paraId="63029E15" w14:textId="77777777" w:rsidR="00AB14D1" w:rsidRDefault="00AB14D1" w:rsidP="00AB14D1">
      <w:pPr>
        <w:spacing w:after="160" w:line="360" w:lineRule="auto"/>
        <w:jc w:val="both"/>
      </w:pPr>
      <w:r>
        <w:rPr>
          <w:b/>
          <w:color w:val="000000"/>
          <w:kern w:val="3"/>
          <w:lang w:eastAsia="en-US"/>
        </w:rPr>
        <w:t xml:space="preserve">ZAGADNIENIA </w:t>
      </w:r>
      <w:r w:rsidRPr="006C3531">
        <w:rPr>
          <w:b/>
        </w:rPr>
        <w:t>KIERUNKOWE</w:t>
      </w:r>
    </w:p>
    <w:p w14:paraId="76777127" w14:textId="77777777" w:rsidR="00AB14D1" w:rsidRPr="008B2E8E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kern w:val="3"/>
          <w:lang w:eastAsia="en-US"/>
        </w:rPr>
      </w:pPr>
      <w:r w:rsidRPr="008B2E8E">
        <w:rPr>
          <w:kern w:val="3"/>
          <w:lang w:eastAsia="en-US"/>
        </w:rPr>
        <w:t>Psychologia jako nauka, interdyscyplinarność w badaniach psychologicznych.</w:t>
      </w:r>
    </w:p>
    <w:p w14:paraId="5F3CEA17" w14:textId="77777777" w:rsidR="00AB14D1" w:rsidRPr="008B2E8E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right="-425" w:hanging="426"/>
        <w:jc w:val="both"/>
        <w:textAlignment w:val="baseline"/>
        <w:rPr>
          <w:kern w:val="3"/>
          <w:lang w:eastAsia="en-US"/>
        </w:rPr>
      </w:pPr>
      <w:r w:rsidRPr="008B2E8E">
        <w:rPr>
          <w:kern w:val="3"/>
          <w:lang w:eastAsia="en-US"/>
        </w:rPr>
        <w:t>Behawioryzm, jako kierunek w psychologii, geneza, rozwój, przedstawiciele, podstawowe tezy.</w:t>
      </w:r>
    </w:p>
    <w:p w14:paraId="3EED5730" w14:textId="77777777" w:rsidR="00AB14D1" w:rsidRPr="008B2E8E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kern w:val="3"/>
          <w:lang w:eastAsia="en-US"/>
        </w:rPr>
      </w:pPr>
      <w:r w:rsidRPr="008B2E8E">
        <w:rPr>
          <w:kern w:val="3"/>
          <w:lang w:eastAsia="en-US"/>
        </w:rPr>
        <w:t>Trzy generacje („fale”) terapii poznawczo</w:t>
      </w:r>
      <w:r>
        <w:rPr>
          <w:kern w:val="3"/>
          <w:lang w:eastAsia="en-US"/>
        </w:rPr>
        <w:t>-</w:t>
      </w:r>
      <w:r w:rsidRPr="008B2E8E">
        <w:rPr>
          <w:kern w:val="3"/>
          <w:lang w:eastAsia="en-US"/>
        </w:rPr>
        <w:t>behawioraln</w:t>
      </w:r>
      <w:r>
        <w:rPr>
          <w:kern w:val="3"/>
          <w:lang w:eastAsia="en-US"/>
        </w:rPr>
        <w:t>ej.</w:t>
      </w:r>
    </w:p>
    <w:p w14:paraId="32369651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Psychologiczne podstawy zachowania się człowieka w sytuacjach trudnych (stresowych).</w:t>
      </w:r>
    </w:p>
    <w:p w14:paraId="73317F02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 xml:space="preserve">Paradygmaty we współczesnej psychologii. </w:t>
      </w:r>
    </w:p>
    <w:p w14:paraId="4CE26AE9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Rodzina jako system – struktura, funkcje i mechanizmy wpływające na jej funkcjonowanie.</w:t>
      </w:r>
    </w:p>
    <w:p w14:paraId="252C37CD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Mediacje i negocjacje jako sposoby rozwiązywania konfliktów interpersonalnych.</w:t>
      </w:r>
    </w:p>
    <w:p w14:paraId="2C656E11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>Metody jakościowe w badaniach psychologicznych – charakterystyka i przykłady zastosowań.</w:t>
      </w:r>
    </w:p>
    <w:p w14:paraId="4A3C5DAA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 xml:space="preserve">Techniki pomiaru w psychologii – przegląd i zasady doboru narzędzi. </w:t>
      </w:r>
    </w:p>
    <w:p w14:paraId="08E21449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>Ustawa o zawodzie psychologa – podstawowe zasady wykonywania zawodu, prawa i obowiązki psychologa.</w:t>
      </w:r>
    </w:p>
    <w:p w14:paraId="6430D99B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Źródła błędów w badaniach eksperymentalnych.</w:t>
      </w:r>
    </w:p>
    <w:p w14:paraId="41190C24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>Diagnoza psychologiczna a diagnoza kliniczna – podobieństwa, różnice i obszary zastosowania.</w:t>
      </w:r>
    </w:p>
    <w:p w14:paraId="78F38C14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Zjawisko przemocy w rodzinie, koncepcje, mechanizmy.</w:t>
      </w:r>
    </w:p>
    <w:p w14:paraId="3251D4A7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 xml:space="preserve">Psychologiczne mechanizmy uzależnień chemicznych i behawioralnych. </w:t>
      </w:r>
    </w:p>
    <w:p w14:paraId="0857C80A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Pojęcia i definicje diagnozy psychologicznej i przykłady jej wykorzystania w odniesieniu do wybranych przypadków klientów.</w:t>
      </w:r>
    </w:p>
    <w:p w14:paraId="2AA1D20B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Psychoterapia indywidualna i grupowa – specyfika, możliwości i ograniczenia obu form pracy.</w:t>
      </w:r>
    </w:p>
    <w:p w14:paraId="1D03C27F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Standardy etyczne w postepowaniu psychologa praktyka.</w:t>
      </w:r>
    </w:p>
    <w:p w14:paraId="34493517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 xml:space="preserve">Wybrane teorie stresu: fizjologiczna teoria stresu </w:t>
      </w:r>
      <w:proofErr w:type="spellStart"/>
      <w:r w:rsidRPr="008831DC">
        <w:rPr>
          <w:color w:val="000000" w:themeColor="text1"/>
          <w:kern w:val="3"/>
          <w:lang w:eastAsia="en-US"/>
        </w:rPr>
        <w:t>Seyle’go</w:t>
      </w:r>
      <w:proofErr w:type="spellEnd"/>
      <w:r w:rsidRPr="008831DC">
        <w:rPr>
          <w:color w:val="000000" w:themeColor="text1"/>
          <w:kern w:val="3"/>
          <w:lang w:eastAsia="en-US"/>
        </w:rPr>
        <w:t xml:space="preserve">, transakcyjna teoria stresu </w:t>
      </w:r>
      <w:proofErr w:type="spellStart"/>
      <w:r w:rsidRPr="008831DC">
        <w:rPr>
          <w:color w:val="000000" w:themeColor="text1"/>
          <w:kern w:val="3"/>
          <w:lang w:eastAsia="en-US"/>
        </w:rPr>
        <w:lastRenderedPageBreak/>
        <w:t>Lazarusa</w:t>
      </w:r>
      <w:proofErr w:type="spellEnd"/>
      <w:r w:rsidRPr="008831DC">
        <w:rPr>
          <w:color w:val="000000" w:themeColor="text1"/>
          <w:kern w:val="3"/>
          <w:lang w:eastAsia="en-US"/>
        </w:rPr>
        <w:t xml:space="preserve"> i </w:t>
      </w:r>
      <w:proofErr w:type="spellStart"/>
      <w:r w:rsidRPr="008831DC">
        <w:rPr>
          <w:color w:val="000000" w:themeColor="text1"/>
          <w:kern w:val="3"/>
          <w:lang w:eastAsia="en-US"/>
        </w:rPr>
        <w:t>Folkman</w:t>
      </w:r>
      <w:proofErr w:type="spellEnd"/>
      <w:r w:rsidRPr="008831DC">
        <w:rPr>
          <w:color w:val="000000" w:themeColor="text1"/>
          <w:kern w:val="3"/>
          <w:lang w:eastAsia="en-US"/>
        </w:rPr>
        <w:t xml:space="preserve">, stres w ujęciu </w:t>
      </w:r>
      <w:proofErr w:type="spellStart"/>
      <w:r w:rsidRPr="008831DC">
        <w:rPr>
          <w:color w:val="000000" w:themeColor="text1"/>
          <w:kern w:val="3"/>
          <w:lang w:eastAsia="en-US"/>
        </w:rPr>
        <w:t>Antonovsky’ego</w:t>
      </w:r>
      <w:proofErr w:type="spellEnd"/>
      <w:r w:rsidRPr="008831DC">
        <w:rPr>
          <w:color w:val="000000" w:themeColor="text1"/>
          <w:kern w:val="3"/>
          <w:lang w:eastAsia="en-US"/>
        </w:rPr>
        <w:t>.</w:t>
      </w:r>
    </w:p>
    <w:p w14:paraId="77867A9C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Rola psychologa w interwencji kryzysowej.</w:t>
      </w:r>
    </w:p>
    <w:p w14:paraId="7D1AA8E8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proofErr w:type="spellStart"/>
      <w:r w:rsidRPr="008831DC">
        <w:rPr>
          <w:color w:val="000000" w:themeColor="text1"/>
          <w:kern w:val="3"/>
          <w:lang w:eastAsia="en-US"/>
        </w:rPr>
        <w:t>Rezyliencja</w:t>
      </w:r>
      <w:proofErr w:type="spellEnd"/>
      <w:r w:rsidRPr="008831DC">
        <w:rPr>
          <w:color w:val="000000" w:themeColor="text1"/>
          <w:kern w:val="3"/>
          <w:lang w:eastAsia="en-US"/>
        </w:rPr>
        <w:t xml:space="preserve"> – sposoby definiowania i metody pomiaru.</w:t>
      </w:r>
    </w:p>
    <w:p w14:paraId="02CEBE67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Relacja terapeutyczna – znaczenie, czynniki kształtujące jej jakość i znaczenie dla procesu psychoterapii.</w:t>
      </w:r>
    </w:p>
    <w:p w14:paraId="506B1B1B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Metody, narzędzia i techniki służące diagnozowaniu i interpretowaniu zjawiska stresu, kryzysu i traumy.</w:t>
      </w:r>
    </w:p>
    <w:p w14:paraId="37FBC2AA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Rola i miejsce statystyki w psychologii.</w:t>
      </w:r>
    </w:p>
    <w:p w14:paraId="5067B4CB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Psychoprofilaktyka – tradycyjne i współczesne ujęcie.</w:t>
      </w:r>
    </w:p>
    <w:p w14:paraId="358FC310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Tajemnica zawodowa psychologa i jej odstępstwa.</w:t>
      </w:r>
    </w:p>
    <w:p w14:paraId="673B0531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Zachowania autodestrukcyjne u dzieci i młodzieży (indywidualne i środowiskowe czynniki ryzyka).</w:t>
      </w:r>
    </w:p>
    <w:p w14:paraId="5E431479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Przykładowe strategie regulacji emocjami.</w:t>
      </w:r>
    </w:p>
    <w:p w14:paraId="4E754078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 xml:space="preserve">Porozumienie się bez przemocy ( NCV </w:t>
      </w:r>
      <w:proofErr w:type="spellStart"/>
      <w:r w:rsidRPr="008831DC">
        <w:rPr>
          <w:color w:val="000000" w:themeColor="text1"/>
          <w:kern w:val="3"/>
          <w:lang w:eastAsia="en-US"/>
        </w:rPr>
        <w:t>Nonviolent</w:t>
      </w:r>
      <w:proofErr w:type="spellEnd"/>
      <w:r w:rsidRPr="008831DC">
        <w:rPr>
          <w:color w:val="000000" w:themeColor="text1"/>
          <w:kern w:val="3"/>
          <w:lang w:eastAsia="en-US"/>
        </w:rPr>
        <w:t xml:space="preserve"> </w:t>
      </w:r>
      <w:proofErr w:type="spellStart"/>
      <w:r w:rsidRPr="008831DC">
        <w:rPr>
          <w:color w:val="000000" w:themeColor="text1"/>
          <w:kern w:val="3"/>
          <w:lang w:eastAsia="en-US"/>
        </w:rPr>
        <w:t>Communication</w:t>
      </w:r>
      <w:proofErr w:type="spellEnd"/>
      <w:r w:rsidRPr="008831DC">
        <w:rPr>
          <w:color w:val="000000" w:themeColor="text1"/>
          <w:kern w:val="3"/>
          <w:lang w:eastAsia="en-US"/>
        </w:rPr>
        <w:t>) M. Rosenberga.</w:t>
      </w:r>
    </w:p>
    <w:p w14:paraId="0337259F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Cele i obszary stosowania diagnozy psychologicznej. Wybrane modele diagnozy                 i ich zastosowanie w praktyce.</w:t>
      </w:r>
    </w:p>
    <w:p w14:paraId="75AAF90F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Pomoc psychologiczna ofiarom przestępstw.</w:t>
      </w:r>
    </w:p>
    <w:p w14:paraId="3B21AC6A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Klasyczne (historyczne) nurty w psychologii (strukturalizm, funkcjonalizm, klasyczny behawioryzm, klasyczna psychoanaliza).</w:t>
      </w:r>
    </w:p>
    <w:p w14:paraId="15E02192" w14:textId="77777777" w:rsidR="00AB14D1" w:rsidRPr="008831DC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  <w:kern w:val="3"/>
          <w:lang w:eastAsia="en-US"/>
        </w:rPr>
        <w:t>Opinia poradni psychologiczno-pedagogicznej – struktura, treść i wykorzystanie w planowaniu pomocy psychologiczno-pedagogicznej.</w:t>
      </w:r>
    </w:p>
    <w:p w14:paraId="5274A751" w14:textId="77777777" w:rsidR="00AB14D1" w:rsidRPr="008B2E8E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kern w:val="3"/>
          <w:lang w:eastAsia="en-US"/>
        </w:rPr>
      </w:pPr>
      <w:r w:rsidRPr="008B2E8E">
        <w:t xml:space="preserve">Kryzys psychologiczny – definicje, rodzaje, przebieg i strategie interwencji. </w:t>
      </w:r>
    </w:p>
    <w:p w14:paraId="6043C0FD" w14:textId="77777777" w:rsidR="00AB14D1" w:rsidRPr="00DD3D82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color w:val="000000" w:themeColor="text1"/>
          <w:kern w:val="3"/>
          <w:lang w:eastAsia="en-US"/>
        </w:rPr>
      </w:pPr>
      <w:r w:rsidRPr="00DD3D82">
        <w:rPr>
          <w:color w:val="000000" w:themeColor="text1"/>
          <w:kern w:val="3"/>
          <w:lang w:eastAsia="en-US"/>
        </w:rPr>
        <w:t>Właściwości psychometryczne testu psychologicznego</w:t>
      </w:r>
      <w:r>
        <w:rPr>
          <w:color w:val="000000" w:themeColor="text1"/>
          <w:kern w:val="3"/>
          <w:lang w:eastAsia="en-US"/>
        </w:rPr>
        <w:t xml:space="preserve"> – </w:t>
      </w:r>
      <w:r w:rsidRPr="00DD3D82">
        <w:rPr>
          <w:color w:val="000000" w:themeColor="text1"/>
          <w:kern w:val="3"/>
          <w:lang w:eastAsia="en-US"/>
        </w:rPr>
        <w:t>rzetelność, trafność</w:t>
      </w:r>
      <w:r>
        <w:rPr>
          <w:color w:val="000000" w:themeColor="text1"/>
          <w:kern w:val="3"/>
          <w:lang w:eastAsia="en-US"/>
        </w:rPr>
        <w:t>, standaryzacja i normalizacja</w:t>
      </w:r>
      <w:r w:rsidRPr="00DD3D82">
        <w:rPr>
          <w:color w:val="000000" w:themeColor="text1"/>
          <w:kern w:val="3"/>
          <w:lang w:eastAsia="en-US"/>
        </w:rPr>
        <w:t xml:space="preserve">. </w:t>
      </w:r>
    </w:p>
    <w:p w14:paraId="224F9FB3" w14:textId="77777777" w:rsidR="00AB14D1" w:rsidRPr="008B2E8E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kern w:val="3"/>
          <w:lang w:eastAsia="en-US"/>
        </w:rPr>
      </w:pPr>
      <w:r w:rsidRPr="008B2E8E">
        <w:rPr>
          <w:kern w:val="3"/>
          <w:lang w:eastAsia="en-US"/>
        </w:rPr>
        <w:t>Znaczenie umiejętności interpersonalnych w zawodzie psychologa.</w:t>
      </w:r>
    </w:p>
    <w:p w14:paraId="63AE5E2E" w14:textId="77777777" w:rsidR="00AB14D1" w:rsidRPr="008B2E8E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kern w:val="3"/>
          <w:lang w:eastAsia="en-US"/>
        </w:rPr>
      </w:pPr>
      <w:r w:rsidRPr="008B2E8E">
        <w:t xml:space="preserve">Mechanizmy zachowania się ludzi w tłumie – </w:t>
      </w:r>
      <w:proofErr w:type="spellStart"/>
      <w:r w:rsidRPr="008B2E8E">
        <w:t>deindywiduacja</w:t>
      </w:r>
      <w:proofErr w:type="spellEnd"/>
      <w:r w:rsidRPr="008B2E8E">
        <w:t>, konformizm, dynamika grupy.</w:t>
      </w:r>
    </w:p>
    <w:p w14:paraId="336007D8" w14:textId="77777777" w:rsidR="00AB14D1" w:rsidRPr="00DD3D82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color w:val="000000" w:themeColor="text1"/>
          <w:kern w:val="3"/>
          <w:lang w:eastAsia="en-US"/>
        </w:rPr>
      </w:pPr>
      <w:r w:rsidRPr="00DD3D82">
        <w:rPr>
          <w:color w:val="000000" w:themeColor="text1"/>
          <w:kern w:val="3"/>
          <w:lang w:eastAsia="en-US"/>
        </w:rPr>
        <w:t>Poczucie koherencji – istota konstruktu, jego elementy składowe i narzędzia diagnostyczne.</w:t>
      </w:r>
    </w:p>
    <w:p w14:paraId="0619A9FC" w14:textId="77777777" w:rsidR="00AB14D1" w:rsidRPr="00DD3D82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color w:val="000000" w:themeColor="text1"/>
          <w:kern w:val="3"/>
          <w:lang w:eastAsia="en-US"/>
        </w:rPr>
      </w:pPr>
      <w:r w:rsidRPr="00DD3D82">
        <w:rPr>
          <w:color w:val="000000" w:themeColor="text1"/>
          <w:kern w:val="3"/>
          <w:lang w:eastAsia="en-US"/>
        </w:rPr>
        <w:t xml:space="preserve">Zachowania </w:t>
      </w:r>
      <w:proofErr w:type="spellStart"/>
      <w:r w:rsidRPr="00DD3D82">
        <w:rPr>
          <w:color w:val="000000" w:themeColor="text1"/>
          <w:kern w:val="3"/>
          <w:lang w:eastAsia="en-US"/>
        </w:rPr>
        <w:t>samouszkadzające</w:t>
      </w:r>
      <w:proofErr w:type="spellEnd"/>
      <w:r w:rsidRPr="00DD3D82">
        <w:rPr>
          <w:color w:val="000000" w:themeColor="text1"/>
          <w:kern w:val="3"/>
          <w:lang w:eastAsia="en-US"/>
        </w:rPr>
        <w:t xml:space="preserve"> – charakterystyka, przykłady i uwarunkowania.</w:t>
      </w:r>
    </w:p>
    <w:p w14:paraId="219AEB16" w14:textId="77777777" w:rsidR="00AB14D1" w:rsidRPr="008B2E8E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textAlignment w:val="baseline"/>
        <w:rPr>
          <w:kern w:val="3"/>
          <w:lang w:eastAsia="en-US"/>
        </w:rPr>
      </w:pPr>
      <w:r w:rsidRPr="008B2E8E">
        <w:t>Kluczowe różnice między psychoterapią indywidua</w:t>
      </w:r>
      <w:r>
        <w:t xml:space="preserve">lną a grupową – cele, dynamika, </w:t>
      </w:r>
      <w:r w:rsidRPr="008B2E8E">
        <w:t xml:space="preserve">efekty. </w:t>
      </w:r>
    </w:p>
    <w:p w14:paraId="4F3969DB" w14:textId="77777777" w:rsidR="00AB14D1" w:rsidRPr="008B2E8E" w:rsidRDefault="00AB14D1" w:rsidP="00AB14D1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426" w:hanging="426"/>
        <w:jc w:val="both"/>
        <w:textAlignment w:val="baseline"/>
        <w:rPr>
          <w:kern w:val="3"/>
          <w:lang w:eastAsia="en-US"/>
        </w:rPr>
      </w:pPr>
      <w:r w:rsidRPr="008B2E8E">
        <w:t xml:space="preserve">Rodzina w kryzysie – psychologiczne skutki rozwodu, choroby, straty. </w:t>
      </w:r>
    </w:p>
    <w:p w14:paraId="6C2290AA" w14:textId="77777777" w:rsidR="00AB14D1" w:rsidRDefault="00AB14D1" w:rsidP="00AB14D1">
      <w:pPr>
        <w:tabs>
          <w:tab w:val="left" w:pos="1095"/>
        </w:tabs>
        <w:spacing w:line="360" w:lineRule="auto"/>
        <w:ind w:hanging="284"/>
        <w:jc w:val="both"/>
        <w:rPr>
          <w:b/>
          <w:kern w:val="3"/>
          <w:lang w:eastAsia="en-US"/>
        </w:rPr>
      </w:pPr>
    </w:p>
    <w:p w14:paraId="131AA191" w14:textId="28BCC01B" w:rsidR="00AB14D1" w:rsidRDefault="00AB14D1" w:rsidP="00AB14D1">
      <w:pPr>
        <w:tabs>
          <w:tab w:val="left" w:pos="1095"/>
        </w:tabs>
        <w:spacing w:line="360" w:lineRule="auto"/>
        <w:ind w:hanging="284"/>
        <w:jc w:val="both"/>
        <w:rPr>
          <w:b/>
          <w:kern w:val="3"/>
          <w:lang w:eastAsia="en-US"/>
        </w:rPr>
      </w:pPr>
      <w:r>
        <w:rPr>
          <w:b/>
          <w:kern w:val="3"/>
          <w:lang w:eastAsia="en-US"/>
        </w:rPr>
        <w:lastRenderedPageBreak/>
        <w:t>ZAGADNIENIA SPECJALNOŚCIOWE</w:t>
      </w:r>
    </w:p>
    <w:p w14:paraId="7FB4EAA0" w14:textId="77777777" w:rsidR="00AB14D1" w:rsidRPr="00A314B4" w:rsidRDefault="00AB14D1" w:rsidP="00AB14D1">
      <w:pPr>
        <w:tabs>
          <w:tab w:val="left" w:pos="1095"/>
        </w:tabs>
        <w:spacing w:line="360" w:lineRule="auto"/>
        <w:jc w:val="both"/>
        <w:rPr>
          <w:rFonts w:cs="Tahoma"/>
          <w:kern w:val="3"/>
          <w:sz w:val="22"/>
          <w:szCs w:val="22"/>
          <w:lang w:eastAsia="en-US"/>
        </w:rPr>
      </w:pPr>
    </w:p>
    <w:p w14:paraId="5A99E9BE" w14:textId="77777777" w:rsidR="00AB14D1" w:rsidRDefault="00AB14D1" w:rsidP="00AB14D1">
      <w:pPr>
        <w:tabs>
          <w:tab w:val="left" w:pos="0"/>
          <w:tab w:val="left" w:pos="567"/>
        </w:tabs>
        <w:jc w:val="both"/>
        <w:rPr>
          <w:b/>
          <w:kern w:val="3"/>
          <w:lang w:eastAsia="en-US"/>
        </w:rPr>
      </w:pPr>
      <w:r>
        <w:rPr>
          <w:b/>
          <w:kern w:val="3"/>
          <w:lang w:eastAsia="en-US"/>
        </w:rPr>
        <w:t xml:space="preserve">Specjalność PSYCHOLOGIA </w:t>
      </w:r>
      <w:r w:rsidRPr="00A314B4">
        <w:rPr>
          <w:b/>
          <w:kern w:val="3"/>
          <w:lang w:eastAsia="en-US"/>
        </w:rPr>
        <w:t>KLINICZNA I ZDROWIA</w:t>
      </w:r>
    </w:p>
    <w:p w14:paraId="5DA91455" w14:textId="77777777" w:rsidR="00AB14D1" w:rsidRDefault="00AB14D1" w:rsidP="00AB14D1">
      <w:pPr>
        <w:tabs>
          <w:tab w:val="left" w:pos="0"/>
          <w:tab w:val="left" w:pos="567"/>
        </w:tabs>
        <w:jc w:val="both"/>
        <w:rPr>
          <w:b/>
          <w:color w:val="00B050"/>
          <w:kern w:val="3"/>
          <w:lang w:eastAsia="en-US"/>
        </w:rPr>
      </w:pPr>
    </w:p>
    <w:p w14:paraId="3A7DF9D0" w14:textId="77777777" w:rsidR="00AB14D1" w:rsidRDefault="00AB14D1" w:rsidP="00AB14D1">
      <w:pPr>
        <w:tabs>
          <w:tab w:val="left" w:pos="0"/>
          <w:tab w:val="left" w:pos="567"/>
        </w:tabs>
        <w:jc w:val="both"/>
        <w:rPr>
          <w:b/>
          <w:kern w:val="3"/>
          <w:lang w:eastAsia="en-US"/>
        </w:rPr>
      </w:pPr>
    </w:p>
    <w:p w14:paraId="0DE580D9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D1478F">
        <w:t>Psychologia zdrowia – przedmiot, cele i główne obszary zainteresowań.</w:t>
      </w:r>
    </w:p>
    <w:p w14:paraId="388CC7F8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rPr>
          <w:kern w:val="3"/>
          <w:lang w:eastAsia="en-US"/>
        </w:rPr>
        <w:t>Psychospołeczne uwarunkowania zdrowia i choroby.</w:t>
      </w:r>
    </w:p>
    <w:p w14:paraId="0BE04558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rPr>
          <w:kern w:val="3"/>
          <w:lang w:eastAsia="en-US"/>
        </w:rPr>
        <w:t>Wybrane nurty psychoterapeutyczne i ich założenia.</w:t>
      </w:r>
    </w:p>
    <w:p w14:paraId="35D1090D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rPr>
          <w:kern w:val="3"/>
          <w:lang w:eastAsia="en-US"/>
        </w:rPr>
        <w:t xml:space="preserve">Znaczenie stylu życia i </w:t>
      </w:r>
      <w:proofErr w:type="spellStart"/>
      <w:r w:rsidRPr="00A314B4">
        <w:rPr>
          <w:kern w:val="3"/>
          <w:lang w:eastAsia="en-US"/>
        </w:rPr>
        <w:t>zachowań</w:t>
      </w:r>
      <w:proofErr w:type="spellEnd"/>
      <w:r w:rsidRPr="00A314B4">
        <w:rPr>
          <w:kern w:val="3"/>
          <w:lang w:eastAsia="en-US"/>
        </w:rPr>
        <w:t xml:space="preserve"> zdrowotnych dla dobrostanu psychofizycznego.</w:t>
      </w:r>
    </w:p>
    <w:p w14:paraId="2F550786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rPr>
          <w:kern w:val="3"/>
          <w:lang w:eastAsia="en-US"/>
        </w:rPr>
        <w:t>Systemy klasyfikacji chorób i zaburzeń psychicznych wykorzystanych w diagnozie psychologicznej.</w:t>
      </w:r>
    </w:p>
    <w:p w14:paraId="6C0E6450" w14:textId="77777777" w:rsidR="00AB14D1" w:rsidRPr="00516F80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516F80">
        <w:rPr>
          <w:rStyle w:val="StrongEmphasis"/>
          <w:rFonts w:eastAsiaTheme="majorEastAsia"/>
        </w:rPr>
        <w:t xml:space="preserve">Zaburzenia afektywne – diagnoza i terapia </w:t>
      </w:r>
      <w:r w:rsidRPr="00516F80">
        <w:t>zaburzeń nastroju.</w:t>
      </w:r>
    </w:p>
    <w:p w14:paraId="7F2B3995" w14:textId="77777777" w:rsidR="00AB14D1" w:rsidRPr="00516F80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516F80">
        <w:t>Zaburzenia osobowości</w:t>
      </w:r>
      <w:r>
        <w:t xml:space="preserve"> – </w:t>
      </w:r>
      <w:r w:rsidRPr="00516F80">
        <w:t>aktualne kryteria diagnostyczne wg ICD-11, narzędzia diagnostyczne.</w:t>
      </w:r>
    </w:p>
    <w:p w14:paraId="384D1851" w14:textId="77777777" w:rsidR="00AB14D1" w:rsidRPr="008831DC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>Zaburzenia lękowe (fobia społeczna, zaburzenie obsesyjno-kompulsywne, zespół lęku uogólnionego) z uwzględnieniem różnic w podejściu do ich diagnozy i terapii.</w:t>
      </w:r>
    </w:p>
    <w:p w14:paraId="00AAB9C4" w14:textId="77777777" w:rsidR="00AB14D1" w:rsidRPr="008831DC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color w:val="000000" w:themeColor="text1"/>
          <w:kern w:val="3"/>
          <w:lang w:eastAsia="en-US"/>
        </w:rPr>
      </w:pPr>
      <w:r w:rsidRPr="008831DC">
        <w:rPr>
          <w:rStyle w:val="StrongEmphasis"/>
          <w:rFonts w:eastAsiaTheme="majorEastAsia"/>
          <w:color w:val="000000" w:themeColor="text1"/>
        </w:rPr>
        <w:t>Zaburzenia odżywiania – d</w:t>
      </w:r>
      <w:r w:rsidRPr="008831DC">
        <w:rPr>
          <w:color w:val="000000" w:themeColor="text1"/>
        </w:rPr>
        <w:t>iagnoza kliniczna i terapia.</w:t>
      </w:r>
    </w:p>
    <w:p w14:paraId="30A53B9E" w14:textId="77777777" w:rsidR="00AB14D1" w:rsidRPr="008831DC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 xml:space="preserve">Zaburzenia </w:t>
      </w:r>
      <w:proofErr w:type="spellStart"/>
      <w:r w:rsidRPr="008831DC">
        <w:rPr>
          <w:color w:val="000000" w:themeColor="text1"/>
        </w:rPr>
        <w:t>neurorozwojowe</w:t>
      </w:r>
      <w:proofErr w:type="spellEnd"/>
      <w:r w:rsidRPr="008831DC">
        <w:rPr>
          <w:color w:val="000000" w:themeColor="text1"/>
        </w:rPr>
        <w:t xml:space="preserve"> – klasyfikacja, diagnoza oraz terapia.</w:t>
      </w:r>
    </w:p>
    <w:p w14:paraId="4DECE4B4" w14:textId="77777777" w:rsidR="00AB14D1" w:rsidRPr="008831DC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>Promocja zdrowia i profilaktyka zaburzeń psychicznych – cele, poziomy i możliwości oddziaływań psychologicznych.</w:t>
      </w:r>
    </w:p>
    <w:p w14:paraId="140EBD99" w14:textId="77777777" w:rsidR="00AB14D1" w:rsidRPr="008831DC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>Przystosowanie psychiczne do choroby przewlekłej – czynniki sprzyjające i utrudniające adaptację.</w:t>
      </w:r>
    </w:p>
    <w:p w14:paraId="148C5D78" w14:textId="77777777" w:rsidR="00AB14D1" w:rsidRPr="008831DC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rStyle w:val="Pogrubienie"/>
          <w:rFonts w:eastAsiaTheme="majorEastAsia"/>
          <w:b w:val="0"/>
          <w:bCs w:val="0"/>
          <w:color w:val="000000" w:themeColor="text1"/>
          <w:kern w:val="3"/>
          <w:lang w:eastAsia="en-US"/>
        </w:rPr>
      </w:pPr>
      <w:r w:rsidRPr="008831DC">
        <w:rPr>
          <w:rStyle w:val="Pogrubienie"/>
          <w:rFonts w:eastAsiaTheme="majorEastAsia"/>
          <w:color w:val="000000" w:themeColor="text1"/>
        </w:rPr>
        <w:t>Struktura oraz rodzaje diagnozy neuropsychologicznej.</w:t>
      </w:r>
    </w:p>
    <w:p w14:paraId="67EA71A0" w14:textId="77777777" w:rsidR="00AB14D1" w:rsidRPr="008831DC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>Afazja, apraksja i agnozja – charakterystyka podstawowych zaburzeń wyższych funkcji poznawczych.</w:t>
      </w:r>
    </w:p>
    <w:p w14:paraId="2815E756" w14:textId="77777777" w:rsidR="00AB14D1" w:rsidRPr="008831DC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color w:val="000000" w:themeColor="text1"/>
          <w:kern w:val="3"/>
          <w:lang w:eastAsia="en-US"/>
        </w:rPr>
      </w:pPr>
      <w:r w:rsidRPr="008831DC">
        <w:rPr>
          <w:color w:val="000000" w:themeColor="text1"/>
        </w:rPr>
        <w:t>Rehabilitacja neuropsychologiczna – cele, zasady i podstawowe metody oddziaływań.</w:t>
      </w:r>
    </w:p>
    <w:p w14:paraId="6B588A68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t xml:space="preserve">Rola psychoterapii i farmakoterapii w leczeniu uzależnień. </w:t>
      </w:r>
    </w:p>
    <w:p w14:paraId="3EC2B284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rPr>
          <w:kern w:val="3"/>
          <w:lang w:eastAsia="en-US"/>
        </w:rPr>
        <w:t>ASD i PTSD – różnice w kryteriach diagnostycznych i udzielaniu pomocy psychologicznej.</w:t>
      </w:r>
    </w:p>
    <w:p w14:paraId="4E4739CF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rPr>
          <w:kern w:val="3"/>
          <w:lang w:eastAsia="en-US"/>
        </w:rPr>
        <w:t>P</w:t>
      </w:r>
      <w:r w:rsidRPr="00A314B4">
        <w:t>sychologiczna pomoc pacjentowi onkologicznemu – potrzeby emocjonalne i strategie wsparcia.</w:t>
      </w:r>
    </w:p>
    <w:p w14:paraId="1D819B75" w14:textId="77777777" w:rsidR="00AB14D1" w:rsidRPr="00A314B4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t>Interwencje psychologiczne w kryzysach psychicznych – samobójstwa, zaburzenia po stresie traumatycznym.</w:t>
      </w:r>
    </w:p>
    <w:p w14:paraId="47C3E499" w14:textId="4A8D6171" w:rsidR="00181929" w:rsidRPr="00AB14D1" w:rsidRDefault="00AB14D1" w:rsidP="00AB14D1">
      <w:pPr>
        <w:pStyle w:val="Akapitzlist"/>
        <w:numPr>
          <w:ilvl w:val="0"/>
          <w:numId w:val="2"/>
        </w:numPr>
        <w:tabs>
          <w:tab w:val="left" w:pos="0"/>
          <w:tab w:val="left" w:pos="567"/>
        </w:tabs>
        <w:spacing w:line="360" w:lineRule="auto"/>
        <w:ind w:left="567" w:hanging="425"/>
        <w:contextualSpacing w:val="0"/>
        <w:rPr>
          <w:kern w:val="3"/>
          <w:lang w:eastAsia="en-US"/>
        </w:rPr>
      </w:pPr>
      <w:r w:rsidRPr="00A314B4">
        <w:rPr>
          <w:kern w:val="3"/>
          <w:lang w:eastAsia="en-US"/>
        </w:rPr>
        <w:t>Terapia poznawczo-behawioralna w leczeniu zaburzeń psychicznych – założenia</w:t>
      </w:r>
      <w:r>
        <w:rPr>
          <w:kern w:val="3"/>
          <w:lang w:eastAsia="en-US"/>
        </w:rPr>
        <w:t xml:space="preserve">                      </w:t>
      </w:r>
      <w:r w:rsidRPr="00A314B4">
        <w:rPr>
          <w:kern w:val="3"/>
          <w:lang w:eastAsia="en-US"/>
        </w:rPr>
        <w:t xml:space="preserve"> i techniki.</w:t>
      </w:r>
    </w:p>
    <w:sectPr w:rsidR="00181929" w:rsidRPr="00AB1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F0F81"/>
    <w:multiLevelType w:val="multilevel"/>
    <w:tmpl w:val="D05A9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37462E02"/>
    <w:multiLevelType w:val="hybridMultilevel"/>
    <w:tmpl w:val="98D49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880890">
    <w:abstractNumId w:val="0"/>
  </w:num>
  <w:num w:numId="2" w16cid:durableId="622469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4D1"/>
    <w:rsid w:val="000F4F69"/>
    <w:rsid w:val="00181929"/>
    <w:rsid w:val="005B33C4"/>
    <w:rsid w:val="008065C8"/>
    <w:rsid w:val="00927304"/>
    <w:rsid w:val="00AB14D1"/>
    <w:rsid w:val="00CF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D90B0"/>
  <w15:chartTrackingRefBased/>
  <w15:docId w15:val="{3E7A914E-B90F-492B-B475-441595FD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4D1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1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1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14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1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14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14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14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14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14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1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1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1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14D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14D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14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14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14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14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14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1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1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1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1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14D1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AB14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14D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1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14D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14D1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AB14D1"/>
    <w:rPr>
      <w:rFonts w:ascii="Times New Roman" w:hAnsi="Times New Roman" w:cs="Times New Roman" w:hint="default"/>
      <w:b/>
      <w:bCs/>
    </w:rPr>
  </w:style>
  <w:style w:type="character" w:customStyle="1" w:styleId="StrongEmphasis">
    <w:name w:val="Strong Emphasis"/>
    <w:rsid w:val="00AB14D1"/>
    <w:rPr>
      <w:b/>
      <w:bCs/>
    </w:rPr>
  </w:style>
  <w:style w:type="paragraph" w:customStyle="1" w:styleId="Standard">
    <w:name w:val="Standard"/>
    <w:rsid w:val="00AB14D1"/>
    <w:pPr>
      <w:widowControl w:val="0"/>
      <w:suppressAutoHyphens/>
      <w:spacing w:after="0" w:line="240" w:lineRule="auto"/>
    </w:pPr>
    <w:rPr>
      <w:rFonts w:ascii="Times New Roman" w:eastAsia="Calibri" w:hAnsi="Times New Roman" w:cs="Tahoma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5462</Characters>
  <Application>Microsoft Office Word</Application>
  <DocSecurity>0</DocSecurity>
  <Lines>45</Lines>
  <Paragraphs>12</Paragraphs>
  <ScaleCrop>false</ScaleCrop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KRUSAK</dc:creator>
  <cp:keywords/>
  <dc:description/>
  <cp:lastModifiedBy>KRUSAK</cp:lastModifiedBy>
  <cp:revision>1</cp:revision>
  <dcterms:created xsi:type="dcterms:W3CDTF">2026-10-16T06:57:00Z</dcterms:created>
  <dcterms:modified xsi:type="dcterms:W3CDTF">2026-10-16T06:59:00Z</dcterms:modified>
</cp:coreProperties>
</file>